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6F7" w:rsidRPr="00F70734" w:rsidRDefault="008F76F7" w:rsidP="008F76F7">
      <w:pPr>
        <w:rPr>
          <w:b/>
          <w:u w:val="single"/>
        </w:rPr>
      </w:pPr>
      <w:r w:rsidRPr="00F70734">
        <w:rPr>
          <w:b/>
          <w:u w:val="single"/>
        </w:rPr>
        <w:t>Devolution Statement</w:t>
      </w:r>
      <w:r w:rsidR="00CA762C" w:rsidRPr="00F70734">
        <w:rPr>
          <w:b/>
          <w:u w:val="single"/>
        </w:rPr>
        <w:t xml:space="preserve"> for the School/ Department/ Faculty of                                </w:t>
      </w:r>
      <w:r w:rsidRPr="00F70734">
        <w:rPr>
          <w:b/>
          <w:u w:val="single"/>
        </w:rPr>
        <w:t>:</w:t>
      </w:r>
    </w:p>
    <w:p w:rsidR="00587E8E" w:rsidRPr="00472EA2" w:rsidRDefault="00CA762C" w:rsidP="00C829E9">
      <w:r w:rsidRPr="00472EA2">
        <w:t>Interactions</w:t>
      </w:r>
      <w:r w:rsidR="00772E61" w:rsidRPr="00472EA2">
        <w:t xml:space="preserve">, responsibilities </w:t>
      </w:r>
      <w:r w:rsidR="00BF276B" w:rsidRPr="00472EA2">
        <w:t xml:space="preserve"> and </w:t>
      </w:r>
      <w:r w:rsidRPr="00472EA2">
        <w:t>accountabilities for decision making</w:t>
      </w:r>
      <w:r w:rsidR="00BF276B" w:rsidRPr="00472EA2">
        <w:t xml:space="preserve"> in </w:t>
      </w:r>
      <w:r w:rsidR="00772E61" w:rsidRPr="00472EA2">
        <w:t xml:space="preserve">respect of </w:t>
      </w:r>
      <w:r w:rsidRPr="00472EA2">
        <w:t xml:space="preserve">Teaching and Learning </w:t>
      </w:r>
      <w:r w:rsidR="00772E61" w:rsidRPr="00472EA2">
        <w:t xml:space="preserve">and specifically QA responsibility for the programmes run </w:t>
      </w:r>
      <w:r w:rsidRPr="00472EA2">
        <w:t>in the School/ Department</w:t>
      </w:r>
      <w:r w:rsidR="0061413F" w:rsidRPr="00472EA2">
        <w:t>/ Faculty</w:t>
      </w:r>
      <w:r w:rsidRPr="00472EA2">
        <w:t xml:space="preserve"> of</w:t>
      </w:r>
      <w:r w:rsidR="00BF276B" w:rsidRPr="00472EA2">
        <w:t xml:space="preserve"> [                                      </w:t>
      </w:r>
      <w:r w:rsidRPr="00472EA2">
        <w:t xml:space="preserve">                         </w:t>
      </w:r>
      <w:r w:rsidR="00772E61" w:rsidRPr="00472EA2">
        <w:t xml:space="preserve"> </w:t>
      </w:r>
      <w:r w:rsidR="00BF276B" w:rsidRPr="00472EA2">
        <w:t xml:space="preserve">     ] </w:t>
      </w:r>
      <w:r w:rsidR="00772E61" w:rsidRPr="00472EA2">
        <w:t xml:space="preserve">at </w:t>
      </w:r>
      <w:r w:rsidR="00BF276B" w:rsidRPr="00472EA2">
        <w:t xml:space="preserve">UNMC and/ or the School </w:t>
      </w:r>
      <w:r w:rsidR="00772E61" w:rsidRPr="00472EA2">
        <w:t>/Department</w:t>
      </w:r>
      <w:r w:rsidR="0061413F" w:rsidRPr="00472EA2">
        <w:t>/ Faculty</w:t>
      </w:r>
      <w:r w:rsidR="00772E61" w:rsidRPr="00472EA2">
        <w:t xml:space="preserve"> of</w:t>
      </w:r>
      <w:r w:rsidR="00BF276B" w:rsidRPr="00472EA2">
        <w:t xml:space="preserve"> [</w:t>
      </w:r>
      <w:r w:rsidR="00772E61" w:rsidRPr="00472EA2">
        <w:t xml:space="preserve">              </w:t>
      </w:r>
      <w:r w:rsidR="00BF276B" w:rsidRPr="00472EA2">
        <w:t>]</w:t>
      </w:r>
      <w:r w:rsidR="00772E61" w:rsidRPr="00472EA2">
        <w:t xml:space="preserve"> at UNNC for which the School/Department/Faculty of [</w:t>
      </w:r>
      <w:r w:rsidR="00772E61" w:rsidRPr="00472EA2">
        <w:tab/>
      </w:r>
      <w:r w:rsidR="00772E61" w:rsidRPr="00472EA2">
        <w:tab/>
      </w:r>
      <w:r w:rsidR="00772E61" w:rsidRPr="00472EA2">
        <w:tab/>
        <w:t>] at UNUK holds ultimate res</w:t>
      </w:r>
      <w:r w:rsidR="00BF276B" w:rsidRPr="00472EA2">
        <w:t xml:space="preserve">ponsibility and accountability </w:t>
      </w:r>
      <w:r w:rsidR="00FA6B1F" w:rsidRPr="00472EA2">
        <w:t>(together the ‘Parties’)</w:t>
      </w:r>
      <w:r w:rsidR="00472EA2">
        <w:t>.</w:t>
      </w:r>
    </w:p>
    <w:p w:rsidR="00CD0D45" w:rsidRPr="00F70734" w:rsidRDefault="00CD0D45" w:rsidP="00C829E9">
      <w:pPr>
        <w:rPr>
          <w:b/>
        </w:rPr>
      </w:pPr>
      <w:r w:rsidRPr="00F70734">
        <w:rPr>
          <w:b/>
        </w:rPr>
        <w:t>List of Programmes to which this document applies</w:t>
      </w:r>
    </w:p>
    <w:tbl>
      <w:tblPr>
        <w:tblStyle w:val="TableGrid"/>
        <w:tblW w:w="0" w:type="auto"/>
        <w:tblLook w:val="04A0" w:firstRow="1" w:lastRow="0" w:firstColumn="1" w:lastColumn="0" w:noHBand="0" w:noVBand="1"/>
      </w:tblPr>
      <w:tblGrid>
        <w:gridCol w:w="1088"/>
        <w:gridCol w:w="7928"/>
      </w:tblGrid>
      <w:tr w:rsidR="00F70734" w:rsidRPr="00F70734" w:rsidTr="00F40E09">
        <w:tc>
          <w:tcPr>
            <w:tcW w:w="1101" w:type="dxa"/>
          </w:tcPr>
          <w:p w:rsidR="00CD0D45" w:rsidRPr="00F70734" w:rsidRDefault="00CD0D45" w:rsidP="00C829E9">
            <w:pPr>
              <w:rPr>
                <w:b/>
              </w:rPr>
            </w:pPr>
            <w:r w:rsidRPr="00F70734">
              <w:rPr>
                <w:b/>
              </w:rPr>
              <w:t>Code</w:t>
            </w:r>
          </w:p>
        </w:tc>
        <w:tc>
          <w:tcPr>
            <w:tcW w:w="8141" w:type="dxa"/>
          </w:tcPr>
          <w:p w:rsidR="00CD0D45" w:rsidRPr="00F70734" w:rsidRDefault="00CD0D45" w:rsidP="00C829E9">
            <w:pPr>
              <w:rPr>
                <w:b/>
              </w:rPr>
            </w:pPr>
            <w:r w:rsidRPr="00F70734">
              <w:rPr>
                <w:b/>
              </w:rPr>
              <w:t>Qualification and title</w:t>
            </w:r>
            <w:r w:rsidRPr="00F70734">
              <w:rPr>
                <w:rStyle w:val="FootnoteReference"/>
                <w:b/>
              </w:rPr>
              <w:footnoteReference w:id="1"/>
            </w:r>
          </w:p>
        </w:tc>
      </w:tr>
      <w:tr w:rsidR="00CD0D45" w:rsidTr="00CD0D45">
        <w:tc>
          <w:tcPr>
            <w:tcW w:w="1101" w:type="dxa"/>
          </w:tcPr>
          <w:p w:rsidR="00CD0D45" w:rsidRPr="00CD0D45" w:rsidRDefault="00CD0D45" w:rsidP="00C829E9">
            <w:pPr>
              <w:rPr>
                <w:color w:val="365F91" w:themeColor="accent1" w:themeShade="BF"/>
              </w:rPr>
            </w:pPr>
          </w:p>
        </w:tc>
        <w:tc>
          <w:tcPr>
            <w:tcW w:w="8141" w:type="dxa"/>
          </w:tcPr>
          <w:p w:rsidR="00CD0D45" w:rsidRPr="00CD0D45" w:rsidRDefault="00CD0D45" w:rsidP="00C829E9">
            <w:pPr>
              <w:rPr>
                <w:color w:val="365F91" w:themeColor="accent1" w:themeShade="BF"/>
              </w:rPr>
            </w:pPr>
          </w:p>
        </w:tc>
      </w:tr>
      <w:tr w:rsidR="00CD0D45" w:rsidTr="00CD0D45">
        <w:tc>
          <w:tcPr>
            <w:tcW w:w="1101" w:type="dxa"/>
          </w:tcPr>
          <w:p w:rsidR="00CD0D45" w:rsidRPr="00CD0D45" w:rsidRDefault="00CD0D45" w:rsidP="00C829E9">
            <w:pPr>
              <w:rPr>
                <w:color w:val="365F91" w:themeColor="accent1" w:themeShade="BF"/>
              </w:rPr>
            </w:pPr>
          </w:p>
        </w:tc>
        <w:tc>
          <w:tcPr>
            <w:tcW w:w="8141" w:type="dxa"/>
          </w:tcPr>
          <w:p w:rsidR="00CD0D45" w:rsidRPr="00CD0D45" w:rsidRDefault="00CD0D45" w:rsidP="00C829E9">
            <w:pPr>
              <w:rPr>
                <w:color w:val="365F91" w:themeColor="accent1" w:themeShade="BF"/>
              </w:rPr>
            </w:pPr>
          </w:p>
        </w:tc>
      </w:tr>
      <w:tr w:rsidR="00CD0D45" w:rsidTr="00CD0D45">
        <w:tc>
          <w:tcPr>
            <w:tcW w:w="1101" w:type="dxa"/>
          </w:tcPr>
          <w:p w:rsidR="00CD0D45" w:rsidRPr="00CD0D45" w:rsidRDefault="00CD0D45" w:rsidP="00C829E9">
            <w:pPr>
              <w:rPr>
                <w:color w:val="365F91" w:themeColor="accent1" w:themeShade="BF"/>
              </w:rPr>
            </w:pPr>
          </w:p>
        </w:tc>
        <w:tc>
          <w:tcPr>
            <w:tcW w:w="8141" w:type="dxa"/>
          </w:tcPr>
          <w:p w:rsidR="00CD0D45" w:rsidRPr="00CD0D45" w:rsidRDefault="00CD0D45" w:rsidP="00C829E9">
            <w:pPr>
              <w:rPr>
                <w:color w:val="365F91" w:themeColor="accent1" w:themeShade="BF"/>
              </w:rPr>
            </w:pPr>
          </w:p>
        </w:tc>
      </w:tr>
      <w:tr w:rsidR="00CD0D45" w:rsidTr="00CD0D45">
        <w:tc>
          <w:tcPr>
            <w:tcW w:w="1101" w:type="dxa"/>
          </w:tcPr>
          <w:p w:rsidR="00CD0D45" w:rsidRPr="00CD0D45" w:rsidRDefault="00CD0D45" w:rsidP="00C829E9">
            <w:pPr>
              <w:rPr>
                <w:color w:val="365F91" w:themeColor="accent1" w:themeShade="BF"/>
              </w:rPr>
            </w:pPr>
          </w:p>
        </w:tc>
        <w:tc>
          <w:tcPr>
            <w:tcW w:w="8141" w:type="dxa"/>
          </w:tcPr>
          <w:p w:rsidR="00CD0D45" w:rsidRPr="00CD0D45" w:rsidRDefault="00CD0D45" w:rsidP="00C829E9">
            <w:pPr>
              <w:rPr>
                <w:color w:val="365F91" w:themeColor="accent1" w:themeShade="BF"/>
              </w:rPr>
            </w:pPr>
          </w:p>
        </w:tc>
      </w:tr>
      <w:tr w:rsidR="00CD0D45" w:rsidTr="00CD0D45">
        <w:tc>
          <w:tcPr>
            <w:tcW w:w="1101" w:type="dxa"/>
          </w:tcPr>
          <w:p w:rsidR="00CD0D45" w:rsidRPr="00CD0D45" w:rsidRDefault="00CD0D45" w:rsidP="00C829E9">
            <w:pPr>
              <w:rPr>
                <w:color w:val="365F91" w:themeColor="accent1" w:themeShade="BF"/>
              </w:rPr>
            </w:pPr>
          </w:p>
        </w:tc>
        <w:tc>
          <w:tcPr>
            <w:tcW w:w="8141" w:type="dxa"/>
          </w:tcPr>
          <w:p w:rsidR="00CD0D45" w:rsidRPr="00CD0D45" w:rsidRDefault="00CD0D45" w:rsidP="00C829E9">
            <w:pPr>
              <w:rPr>
                <w:color w:val="365F91" w:themeColor="accent1" w:themeShade="BF"/>
              </w:rPr>
            </w:pPr>
          </w:p>
        </w:tc>
      </w:tr>
      <w:tr w:rsidR="00CD0D45" w:rsidTr="00CD0D45">
        <w:tc>
          <w:tcPr>
            <w:tcW w:w="1101" w:type="dxa"/>
          </w:tcPr>
          <w:p w:rsidR="00CD0D45" w:rsidRPr="00CD0D45" w:rsidRDefault="00CD0D45" w:rsidP="00C829E9">
            <w:pPr>
              <w:rPr>
                <w:color w:val="365F91" w:themeColor="accent1" w:themeShade="BF"/>
              </w:rPr>
            </w:pPr>
          </w:p>
        </w:tc>
        <w:tc>
          <w:tcPr>
            <w:tcW w:w="8141" w:type="dxa"/>
          </w:tcPr>
          <w:p w:rsidR="00CD0D45" w:rsidRPr="00CD0D45" w:rsidRDefault="00CD0D45" w:rsidP="00C829E9">
            <w:pPr>
              <w:rPr>
                <w:color w:val="365F91" w:themeColor="accent1" w:themeShade="BF"/>
              </w:rPr>
            </w:pPr>
          </w:p>
        </w:tc>
      </w:tr>
    </w:tbl>
    <w:p w:rsidR="00CD0D45" w:rsidRPr="00382DBD" w:rsidRDefault="00CD0D45" w:rsidP="00C829E9">
      <w:pPr>
        <w:rPr>
          <w:b/>
          <w:color w:val="365F91" w:themeColor="accent1" w:themeShade="BF"/>
        </w:rPr>
      </w:pPr>
    </w:p>
    <w:p w:rsidR="00CA762C" w:rsidRPr="00587E8E" w:rsidRDefault="00CA762C" w:rsidP="00C829E9">
      <w:pPr>
        <w:rPr>
          <w:b/>
          <w:color w:val="17365D" w:themeColor="text2" w:themeShade="BF"/>
        </w:rPr>
      </w:pPr>
      <w:r w:rsidRPr="00A76680">
        <w:rPr>
          <w:b/>
          <w:u w:val="single"/>
        </w:rPr>
        <w:t>Document rationale</w:t>
      </w:r>
    </w:p>
    <w:p w:rsidR="00CA762C" w:rsidRPr="00CA762C" w:rsidRDefault="00CA762C" w:rsidP="008F76F7">
      <w:r>
        <w:t>The University of Nottingham Quality Manual</w:t>
      </w:r>
      <w:r>
        <w:rPr>
          <w:rStyle w:val="FootnoteReference"/>
        </w:rPr>
        <w:footnoteReference w:id="2"/>
      </w:r>
      <w:r w:rsidR="00CC690C">
        <w:t xml:space="preserve"> provides:</w:t>
      </w:r>
      <w:r>
        <w:t xml:space="preserve"> “</w:t>
      </w:r>
      <w:r w:rsidRPr="00D9359C">
        <w:rPr>
          <w:i/>
        </w:rPr>
        <w:t>Where QA responsibilities have been delegated to particular individuals or units on the international campuses, this should be formally documented and appropriate protocols put in place.</w:t>
      </w:r>
      <w:r>
        <w:t>”</w:t>
      </w:r>
      <w:r w:rsidR="00CC690C">
        <w:t xml:space="preserve"> This document seeks to record</w:t>
      </w:r>
      <w:r>
        <w:t xml:space="preserve"> these interactions, accountabilities and responsibilities. </w:t>
      </w:r>
    </w:p>
    <w:p w:rsidR="007F777E" w:rsidRPr="00C829E9" w:rsidRDefault="007F777E" w:rsidP="00C829E9">
      <w:pPr>
        <w:rPr>
          <w:b/>
          <w:u w:val="single"/>
        </w:rPr>
      </w:pPr>
      <w:r w:rsidRPr="00C829E9">
        <w:rPr>
          <w:b/>
          <w:u w:val="single"/>
        </w:rPr>
        <w:t>Scope of document</w:t>
      </w:r>
    </w:p>
    <w:p w:rsidR="00D9359C" w:rsidRDefault="007F777E" w:rsidP="00D9359C">
      <w:r>
        <w:t>This document seeks only to provide clarification on the interactions</w:t>
      </w:r>
      <w:r w:rsidR="00146B49">
        <w:t>, accountabilities</w:t>
      </w:r>
      <w:r>
        <w:t xml:space="preserve"> and responsibilities of the relevant role-holders across the campuses of the University of Nottingham</w:t>
      </w:r>
      <w:r w:rsidR="00EB5FC0">
        <w:t xml:space="preserve"> in relation to taught programmes</w:t>
      </w:r>
      <w:r>
        <w:t xml:space="preserve">; it is not a role profile for these role-holders. </w:t>
      </w:r>
    </w:p>
    <w:p w:rsidR="00A76680" w:rsidRPr="00C829E9" w:rsidRDefault="00D76F3A" w:rsidP="00C829E9">
      <w:pPr>
        <w:rPr>
          <w:b/>
          <w:u w:val="single"/>
        </w:rPr>
      </w:pPr>
      <w:r w:rsidRPr="00C829E9">
        <w:rPr>
          <w:b/>
          <w:u w:val="single"/>
        </w:rPr>
        <w:t>General Principles</w:t>
      </w:r>
    </w:p>
    <w:p w:rsidR="004B56E3" w:rsidRPr="008B1A36" w:rsidRDefault="00F462B0" w:rsidP="008B1A36">
      <w:pPr>
        <w:rPr>
          <w:b/>
        </w:rPr>
      </w:pPr>
      <w:r w:rsidRPr="008B1A36">
        <w:rPr>
          <w:b/>
        </w:rPr>
        <w:t>Local issues</w:t>
      </w:r>
    </w:p>
    <w:p w:rsidR="00E65471" w:rsidRDefault="00E65471" w:rsidP="005C7E57">
      <w:r w:rsidRPr="00E65471">
        <w:t>The</w:t>
      </w:r>
      <w:r w:rsidR="000913A5">
        <w:t xml:space="preserve"> </w:t>
      </w:r>
      <w:r>
        <w:t xml:space="preserve">general </w:t>
      </w:r>
      <w:r w:rsidRPr="00E65471">
        <w:t>areas</w:t>
      </w:r>
      <w:r w:rsidR="00E91689">
        <w:t xml:space="preserve"> for </w:t>
      </w:r>
      <w:r w:rsidRPr="00E65471">
        <w:t>which</w:t>
      </w:r>
      <w:r w:rsidR="00E91689">
        <w:t xml:space="preserve"> full accountability should be taken locally in the </w:t>
      </w:r>
      <w:r w:rsidR="008F76F7">
        <w:t>School/</w:t>
      </w:r>
      <w:r w:rsidR="00E91689">
        <w:t>Department</w:t>
      </w:r>
      <w:r w:rsidR="00CC690C">
        <w:t xml:space="preserve">/ Faculty </w:t>
      </w:r>
      <w:r w:rsidR="00A2217B">
        <w:t>(</w:t>
      </w:r>
      <w:r w:rsidR="004779DC">
        <w:t>designated as ‘local’</w:t>
      </w:r>
      <w:r w:rsidR="00A2217B">
        <w:t>)</w:t>
      </w:r>
      <w:r w:rsidR="00D86BBF">
        <w:t xml:space="preserve"> are as follows:</w:t>
      </w:r>
    </w:p>
    <w:p w:rsidR="00CA762C" w:rsidRDefault="00865053" w:rsidP="00CA762C">
      <w:pPr>
        <w:pStyle w:val="ListParagraph"/>
        <w:numPr>
          <w:ilvl w:val="0"/>
          <w:numId w:val="10"/>
        </w:numPr>
      </w:pPr>
      <w:r>
        <w:t>Admissions at their campus;</w:t>
      </w:r>
    </w:p>
    <w:p w:rsidR="00CA762C" w:rsidRDefault="00E65471" w:rsidP="00CA762C">
      <w:pPr>
        <w:pStyle w:val="ListParagraph"/>
        <w:numPr>
          <w:ilvl w:val="0"/>
          <w:numId w:val="10"/>
        </w:numPr>
      </w:pPr>
      <w:r>
        <w:t>Student experience at their campus</w:t>
      </w:r>
      <w:r w:rsidR="00865053">
        <w:t>;</w:t>
      </w:r>
    </w:p>
    <w:p w:rsidR="00CA762C" w:rsidRDefault="00865053" w:rsidP="00CA762C">
      <w:pPr>
        <w:pStyle w:val="ListParagraph"/>
        <w:numPr>
          <w:ilvl w:val="0"/>
          <w:numId w:val="10"/>
        </w:numPr>
      </w:pPr>
      <w:r>
        <w:t>A</w:t>
      </w:r>
      <w:r w:rsidR="004779DC">
        <w:t>ssessment</w:t>
      </w:r>
      <w:r w:rsidR="00591249">
        <w:t xml:space="preserve"> </w:t>
      </w:r>
      <w:r>
        <w:t xml:space="preserve">processes at their campus (but not </w:t>
      </w:r>
      <w:r w:rsidR="008B1A36">
        <w:t xml:space="preserve">standards of assessment </w:t>
      </w:r>
      <w:r>
        <w:t>);</w:t>
      </w:r>
    </w:p>
    <w:p w:rsidR="00CA762C" w:rsidRDefault="00A2217B" w:rsidP="00CA762C">
      <w:pPr>
        <w:pStyle w:val="ListParagraph"/>
        <w:numPr>
          <w:ilvl w:val="0"/>
          <w:numId w:val="10"/>
        </w:numPr>
      </w:pPr>
      <w:r>
        <w:t>Local s</w:t>
      </w:r>
      <w:r w:rsidR="00E65471">
        <w:t>taffing matters</w:t>
      </w:r>
      <w:r w:rsidR="00591249">
        <w:t xml:space="preserve">, including </w:t>
      </w:r>
      <w:r w:rsidR="00CF5994">
        <w:t>human resource planning</w:t>
      </w:r>
      <w:r w:rsidR="00D9359C">
        <w:t xml:space="preserve"> and recruitment</w:t>
      </w:r>
      <w:r w:rsidR="00865053">
        <w:t>;</w:t>
      </w:r>
    </w:p>
    <w:p w:rsidR="00865053" w:rsidRDefault="00865053" w:rsidP="00CA762C">
      <w:pPr>
        <w:pStyle w:val="ListParagraph"/>
        <w:numPr>
          <w:ilvl w:val="0"/>
          <w:numId w:val="10"/>
        </w:numPr>
      </w:pPr>
      <w:r>
        <w:t>Resources and facilities</w:t>
      </w:r>
      <w:r w:rsidR="002870F2">
        <w:t>.</w:t>
      </w:r>
    </w:p>
    <w:p w:rsidR="00A2217B" w:rsidRDefault="00E91689" w:rsidP="005C7E57">
      <w:r>
        <w:lastRenderedPageBreak/>
        <w:t xml:space="preserve">This accountability will be distributed between </w:t>
      </w:r>
      <w:r w:rsidR="000913A5">
        <w:t xml:space="preserve">the </w:t>
      </w:r>
      <w:r>
        <w:t xml:space="preserve">Heads of </w:t>
      </w:r>
      <w:r w:rsidR="008F76F7">
        <w:t>School/</w:t>
      </w:r>
      <w:r w:rsidR="00F76840">
        <w:t xml:space="preserve"> </w:t>
      </w:r>
      <w:r>
        <w:t>Departme</w:t>
      </w:r>
      <w:r w:rsidR="008F76F7">
        <w:t>nt</w:t>
      </w:r>
      <w:r w:rsidR="0061413F">
        <w:t>/ Faculty</w:t>
      </w:r>
      <w:r w:rsidR="008F76F7">
        <w:t>, Directors of Teaching</w:t>
      </w:r>
      <w:r>
        <w:t xml:space="preserve"> and other role holders </w:t>
      </w:r>
      <w:r w:rsidR="000913A5">
        <w:t xml:space="preserve">within the </w:t>
      </w:r>
      <w:r w:rsidR="008F76F7">
        <w:t>School/</w:t>
      </w:r>
      <w:r w:rsidR="00F76840">
        <w:t xml:space="preserve"> </w:t>
      </w:r>
      <w:r w:rsidR="000913A5">
        <w:t>D</w:t>
      </w:r>
      <w:r w:rsidR="008F76F7">
        <w:t>epartment</w:t>
      </w:r>
      <w:r w:rsidR="00D86BBF">
        <w:t>/</w:t>
      </w:r>
      <w:r w:rsidR="0061413F">
        <w:t>Faculty</w:t>
      </w:r>
      <w:r w:rsidR="008F76F7">
        <w:t xml:space="preserve"> </w:t>
      </w:r>
      <w:r>
        <w:t>as appropriate</w:t>
      </w:r>
      <w:r w:rsidR="000913A5">
        <w:t xml:space="preserve"> and agreed locally</w:t>
      </w:r>
      <w:r>
        <w:t xml:space="preserve">. </w:t>
      </w:r>
      <w:r w:rsidR="00A2217B">
        <w:t xml:space="preserve">Local </w:t>
      </w:r>
      <w:r w:rsidR="00F462B0">
        <w:t>accountability</w:t>
      </w:r>
      <w:r w:rsidR="00A2217B">
        <w:t xml:space="preserve"> does not </w:t>
      </w:r>
      <w:r w:rsidR="00A2217B" w:rsidRPr="00150A71">
        <w:t xml:space="preserve">preclude </w:t>
      </w:r>
      <w:r w:rsidR="004B56E3">
        <w:t xml:space="preserve">the </w:t>
      </w:r>
      <w:r w:rsidR="00F76840">
        <w:t xml:space="preserve">School/ </w:t>
      </w:r>
      <w:r w:rsidRPr="008F76F7">
        <w:t>Department</w:t>
      </w:r>
      <w:r w:rsidR="0061413F">
        <w:t>/ Faculty</w:t>
      </w:r>
      <w:r w:rsidR="00CF5994" w:rsidRPr="008F76F7">
        <w:t xml:space="preserve"> </w:t>
      </w:r>
      <w:r w:rsidR="00A2217B" w:rsidRPr="00150A71">
        <w:t>from seeking advice</w:t>
      </w:r>
      <w:r w:rsidR="00A2217B">
        <w:t xml:space="preserve"> </w:t>
      </w:r>
      <w:r w:rsidR="00A2217B" w:rsidRPr="00150A71">
        <w:t>and counsel when required</w:t>
      </w:r>
      <w:r w:rsidR="00A2217B">
        <w:t xml:space="preserve"> and for informing the other campuses of significant changes</w:t>
      </w:r>
      <w:r w:rsidR="00CF5994">
        <w:t xml:space="preserve">. </w:t>
      </w:r>
    </w:p>
    <w:p w:rsidR="002870F2" w:rsidRPr="008B1A36" w:rsidRDefault="002D062C" w:rsidP="008B1A36">
      <w:pPr>
        <w:rPr>
          <w:b/>
        </w:rPr>
      </w:pPr>
      <w:r>
        <w:rPr>
          <w:b/>
        </w:rPr>
        <w:t>Issues typically</w:t>
      </w:r>
      <w:r w:rsidR="006C1F57">
        <w:rPr>
          <w:b/>
        </w:rPr>
        <w:t xml:space="preserve"> </w:t>
      </w:r>
      <w:r w:rsidR="00F462B0" w:rsidRPr="008B1A36">
        <w:rPr>
          <w:b/>
        </w:rPr>
        <w:t>requiring</w:t>
      </w:r>
      <w:r w:rsidR="002870F2" w:rsidRPr="008B1A36">
        <w:rPr>
          <w:b/>
        </w:rPr>
        <w:t xml:space="preserve"> cross-campus consultation</w:t>
      </w:r>
    </w:p>
    <w:p w:rsidR="00E65471" w:rsidRPr="00E60573" w:rsidRDefault="00E83FDD" w:rsidP="005C7E57">
      <w:r w:rsidRPr="00E60573">
        <w:t>The general areas that should be discussed and agreed between the</w:t>
      </w:r>
      <w:r w:rsidR="00FA6B1F">
        <w:t xml:space="preserve"> Parties </w:t>
      </w:r>
      <w:r w:rsidRPr="00E60573">
        <w:t xml:space="preserve">(designated as ‘cross-campus’) are: </w:t>
      </w:r>
    </w:p>
    <w:p w:rsidR="00CA762C" w:rsidRDefault="00E83FDD" w:rsidP="00CA762C">
      <w:pPr>
        <w:pStyle w:val="ListParagraph"/>
        <w:numPr>
          <w:ilvl w:val="0"/>
          <w:numId w:val="11"/>
        </w:numPr>
      </w:pPr>
      <w:r w:rsidRPr="00E60573">
        <w:t>Curriculum changes and any matters that could affect teaching provision</w:t>
      </w:r>
      <w:r w:rsidR="00EB5FC0">
        <w:t xml:space="preserve"> (including requirements for resource and facilities)</w:t>
      </w:r>
      <w:r w:rsidRPr="00E60573">
        <w:t>, student mobility or accreditation at other campuses</w:t>
      </w:r>
      <w:r w:rsidR="00EB5FC0">
        <w:t>;</w:t>
      </w:r>
    </w:p>
    <w:p w:rsidR="00CA762C" w:rsidRDefault="00E83FDD" w:rsidP="00CA762C">
      <w:pPr>
        <w:pStyle w:val="ListParagraph"/>
        <w:numPr>
          <w:ilvl w:val="0"/>
          <w:numId w:val="11"/>
        </w:numPr>
      </w:pPr>
      <w:r w:rsidRPr="00E60573">
        <w:t>Overall standards of assessment and degree award</w:t>
      </w:r>
      <w:r w:rsidR="00EB5FC0">
        <w:t>;</w:t>
      </w:r>
    </w:p>
    <w:p w:rsidR="00E65471" w:rsidRPr="00E60573" w:rsidRDefault="00E83FDD" w:rsidP="00CA762C">
      <w:pPr>
        <w:pStyle w:val="ListParagraph"/>
        <w:numPr>
          <w:ilvl w:val="0"/>
          <w:numId w:val="11"/>
        </w:numPr>
      </w:pPr>
      <w:r w:rsidRPr="00E60573">
        <w:t xml:space="preserve">Any matter that could potentially affect the reputation of the </w:t>
      </w:r>
      <w:r w:rsidR="0061413F">
        <w:t xml:space="preserve">School, </w:t>
      </w:r>
      <w:r w:rsidRPr="00E60573">
        <w:t>Department, Faculty or University</w:t>
      </w:r>
      <w:r w:rsidR="00EB5FC0">
        <w:t>.</w:t>
      </w:r>
    </w:p>
    <w:p w:rsidR="00A15711" w:rsidRPr="00CF5994" w:rsidRDefault="00A15711" w:rsidP="005C7E57">
      <w:r w:rsidRPr="00CF5994">
        <w:t xml:space="preserve">‘Cross-campus’ decisions will be made on a consensual basis, taking into account the needs of the </w:t>
      </w:r>
      <w:r w:rsidR="00FA6B1F">
        <w:t xml:space="preserve">Parties </w:t>
      </w:r>
      <w:r w:rsidRPr="00CF5994">
        <w:t xml:space="preserve">(e.g. accreditation, league tables, recruitment) and the students on each campus on which the programme is delivered. </w:t>
      </w:r>
    </w:p>
    <w:p w:rsidR="008567C9" w:rsidRDefault="00A15711" w:rsidP="005C7E57">
      <w:r w:rsidRPr="00CF5994">
        <w:t xml:space="preserve">It is expected that in the vast majority of cases, consensus will be possible whereby the needs of the University in all its countries of operation can be best served. In cases where consensus cannot be reached, the matter will be referred </w:t>
      </w:r>
      <w:r w:rsidR="00A76680">
        <w:t xml:space="preserve">to the </w:t>
      </w:r>
      <w:r w:rsidR="00A76680" w:rsidRPr="008567C9">
        <w:t xml:space="preserve">relevant </w:t>
      </w:r>
      <w:r w:rsidR="00A76680" w:rsidRPr="00D86BBF">
        <w:t xml:space="preserve">Faculty PVC </w:t>
      </w:r>
      <w:r w:rsidRPr="00D86BBF">
        <w:t xml:space="preserve">(or </w:t>
      </w:r>
      <w:r w:rsidRPr="00CF5994">
        <w:t>delegated nominee) for decision.</w:t>
      </w:r>
    </w:p>
    <w:p w:rsidR="006C1F57" w:rsidRDefault="006C1F57" w:rsidP="005C7E57">
      <w:pPr>
        <w:sectPr w:rsidR="006C1F57" w:rsidSect="00E83FDD">
          <w:footerReference w:type="default" r:id="rId8"/>
          <w:pgSz w:w="11906" w:h="16838"/>
          <w:pgMar w:top="1440" w:right="1440" w:bottom="1440" w:left="1440" w:header="708" w:footer="708" w:gutter="0"/>
          <w:cols w:space="708"/>
          <w:docGrid w:linePitch="360"/>
        </w:sectPr>
      </w:pPr>
      <w:r>
        <w:t xml:space="preserve">It is acknowledged that there are some programmes which only operate on a single campus. In those cases it may be more appropriate to devolve the responsibility for certain actions entirely to that campus. </w:t>
      </w:r>
      <w:r w:rsidR="00377F99">
        <w:t>In all such cases,</w:t>
      </w:r>
      <w:r w:rsidR="00F40E09">
        <w:t xml:space="preserve"> the programme will reviewed at the UK campus through a review of External Examiner Reports and Annual Monitoring information. </w:t>
      </w:r>
    </w:p>
    <w:p w:rsidR="008567C9" w:rsidRPr="00CF5994" w:rsidRDefault="008567C9" w:rsidP="005C7E57"/>
    <w:p w:rsidR="00A76680" w:rsidRDefault="00A76680" w:rsidP="00A76680">
      <w:r w:rsidRPr="00A76680">
        <w:t>T</w:t>
      </w:r>
      <w:r w:rsidR="00A2217B" w:rsidRPr="00A76680">
        <w:t>he following</w:t>
      </w:r>
      <w:r w:rsidR="00A2217B" w:rsidRPr="00A2217B">
        <w:t xml:space="preserve"> lists are intended to illustrate the gene</w:t>
      </w:r>
      <w:r w:rsidR="00A2217B">
        <w:t>r</w:t>
      </w:r>
      <w:r w:rsidR="00A2217B" w:rsidRPr="00A2217B">
        <w:t xml:space="preserve">al principles outlined above, but </w:t>
      </w:r>
      <w:r w:rsidR="00181106">
        <w:t xml:space="preserve">are not intended to be </w:t>
      </w:r>
      <w:r w:rsidR="00A2217B" w:rsidRPr="00A2217B">
        <w:t>exhaustive.</w:t>
      </w:r>
    </w:p>
    <w:p w:rsidR="008335F8" w:rsidRPr="00A76680" w:rsidRDefault="00E52716" w:rsidP="00A76680">
      <w:r>
        <w:rPr>
          <w:b/>
        </w:rPr>
        <w:t>Issues where responsibility is local to each campus</w:t>
      </w:r>
      <w:r w:rsidR="00377F99">
        <w:rPr>
          <w:b/>
        </w:rPr>
        <w:t xml:space="preserve"> (to include any requirements for input from other campuses)</w:t>
      </w:r>
      <w:r w:rsidR="007419FA">
        <w:rPr>
          <w:b/>
        </w:rPr>
        <w:t>:</w:t>
      </w:r>
    </w:p>
    <w:tbl>
      <w:tblPr>
        <w:tblStyle w:val="TableGrid"/>
        <w:tblW w:w="0" w:type="auto"/>
        <w:tblInd w:w="720" w:type="dxa"/>
        <w:tblLook w:val="04A0" w:firstRow="1" w:lastRow="0" w:firstColumn="1" w:lastColumn="0" w:noHBand="0" w:noVBand="1"/>
      </w:tblPr>
      <w:tblGrid>
        <w:gridCol w:w="7445"/>
        <w:gridCol w:w="5268"/>
      </w:tblGrid>
      <w:tr w:rsidR="008567C9" w:rsidRPr="004F3CF4" w:rsidTr="00BE16AA">
        <w:tc>
          <w:tcPr>
            <w:tcW w:w="7445" w:type="dxa"/>
            <w:shd w:val="clear" w:color="auto" w:fill="A9A28F" w:themeFill="background1" w:themeFillShade="BF"/>
          </w:tcPr>
          <w:p w:rsidR="008567C9" w:rsidRPr="004F3CF4" w:rsidRDefault="008567C9" w:rsidP="008567C9">
            <w:r w:rsidRPr="004F3CF4">
              <w:t>Staff</w:t>
            </w:r>
          </w:p>
        </w:tc>
        <w:tc>
          <w:tcPr>
            <w:tcW w:w="5268" w:type="dxa"/>
            <w:shd w:val="clear" w:color="auto" w:fill="A9A28F" w:themeFill="background1" w:themeFillShade="BF"/>
          </w:tcPr>
          <w:p w:rsidR="00BE16AA" w:rsidRPr="004F3CF4" w:rsidRDefault="00BE16AA" w:rsidP="00BE16AA">
            <w:r>
              <w:t>Brief description</w:t>
            </w:r>
            <w:r w:rsidR="006C1F57">
              <w:t xml:space="preserve"> (who/what/when)</w:t>
            </w:r>
          </w:p>
        </w:tc>
      </w:tr>
      <w:tr w:rsidR="008567C9" w:rsidRPr="004F3CF4" w:rsidTr="00BE16AA">
        <w:tc>
          <w:tcPr>
            <w:tcW w:w="7445" w:type="dxa"/>
          </w:tcPr>
          <w:p w:rsidR="008567C9" w:rsidRPr="004F3CF4" w:rsidRDefault="008567C9" w:rsidP="00377F99">
            <w:r w:rsidRPr="004F3CF4">
              <w:t xml:space="preserve">Staff resource planning and staff recruitment; </w:t>
            </w:r>
          </w:p>
        </w:tc>
        <w:tc>
          <w:tcPr>
            <w:tcW w:w="5268" w:type="dxa"/>
          </w:tcPr>
          <w:p w:rsidR="008567C9" w:rsidRPr="004F3CF4" w:rsidRDefault="008567C9" w:rsidP="00C66CCE">
            <w:pPr>
              <w:ind w:left="360"/>
              <w:jc w:val="left"/>
            </w:pPr>
          </w:p>
        </w:tc>
      </w:tr>
      <w:tr w:rsidR="008567C9" w:rsidRPr="004F3CF4" w:rsidTr="00BE16AA">
        <w:tc>
          <w:tcPr>
            <w:tcW w:w="7445" w:type="dxa"/>
          </w:tcPr>
          <w:p w:rsidR="008567C9" w:rsidRPr="004F3CF4" w:rsidRDefault="008567C9" w:rsidP="00C66CCE">
            <w:r w:rsidRPr="004F3CF4">
              <w:t>Staff performance;</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Appointment to administrative roles (e.g. examinations officer, tutor etc.);</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Appointment of staff mentors;</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Appointment of module convenors and other teaching duties;</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PDPR reviews and recommendations;</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 xml:space="preserve">Career development and promotion of academic staff; </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Confirmation of new staff and the criteria for this;</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General management of staff including workload.</w:t>
            </w:r>
          </w:p>
        </w:tc>
        <w:tc>
          <w:tcPr>
            <w:tcW w:w="5268" w:type="dxa"/>
          </w:tcPr>
          <w:p w:rsidR="008567C9" w:rsidRPr="004F3CF4" w:rsidRDefault="008567C9" w:rsidP="00C66CCE">
            <w:pPr>
              <w:ind w:left="1080"/>
            </w:pPr>
          </w:p>
        </w:tc>
      </w:tr>
      <w:tr w:rsidR="008567C9" w:rsidRPr="004F3CF4" w:rsidTr="00BE16AA">
        <w:tc>
          <w:tcPr>
            <w:tcW w:w="7445" w:type="dxa"/>
            <w:shd w:val="clear" w:color="auto" w:fill="A9A28F" w:themeFill="background1" w:themeFillShade="BF"/>
          </w:tcPr>
          <w:p w:rsidR="008567C9" w:rsidRPr="004F3CF4" w:rsidRDefault="008567C9" w:rsidP="00C66CCE">
            <w:r w:rsidRPr="004F3CF4">
              <w:t>Admissions</w:t>
            </w:r>
          </w:p>
        </w:tc>
        <w:tc>
          <w:tcPr>
            <w:tcW w:w="5268" w:type="dxa"/>
            <w:shd w:val="clear" w:color="auto" w:fill="A9A28F" w:themeFill="background1" w:themeFillShade="BF"/>
          </w:tcPr>
          <w:p w:rsidR="008567C9" w:rsidRPr="004F3CF4" w:rsidRDefault="006C1F57" w:rsidP="006C1F57">
            <w:r>
              <w:t>Brief description (who/what/when)</w:t>
            </w:r>
          </w:p>
        </w:tc>
      </w:tr>
      <w:tr w:rsidR="008567C9" w:rsidRPr="004F3CF4" w:rsidTr="00BE16AA">
        <w:tc>
          <w:tcPr>
            <w:tcW w:w="7445" w:type="dxa"/>
          </w:tcPr>
          <w:p w:rsidR="008567C9" w:rsidRPr="004F3CF4" w:rsidRDefault="008567C9" w:rsidP="00C66CCE">
            <w:r w:rsidRPr="004F3CF4">
              <w:t>Changes to admissions criteria;</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Changes to student admissions targets/numbers etc.</w:t>
            </w:r>
          </w:p>
        </w:tc>
        <w:tc>
          <w:tcPr>
            <w:tcW w:w="5268" w:type="dxa"/>
          </w:tcPr>
          <w:p w:rsidR="008567C9" w:rsidRPr="004F3CF4" w:rsidRDefault="008567C9" w:rsidP="00C66CCE">
            <w:pPr>
              <w:ind w:left="1080"/>
            </w:pPr>
          </w:p>
        </w:tc>
      </w:tr>
      <w:tr w:rsidR="008567C9" w:rsidRPr="004F3CF4" w:rsidTr="00BE16AA">
        <w:tc>
          <w:tcPr>
            <w:tcW w:w="7445" w:type="dxa"/>
            <w:shd w:val="clear" w:color="auto" w:fill="A9A28F" w:themeFill="background1" w:themeFillShade="BF"/>
          </w:tcPr>
          <w:p w:rsidR="008567C9" w:rsidRPr="004F3CF4" w:rsidRDefault="008567C9" w:rsidP="00C66CCE">
            <w:r w:rsidRPr="004F3CF4">
              <w:t>Student Experience</w:t>
            </w:r>
          </w:p>
        </w:tc>
        <w:tc>
          <w:tcPr>
            <w:tcW w:w="5268" w:type="dxa"/>
            <w:shd w:val="clear" w:color="auto" w:fill="A9A28F" w:themeFill="background1" w:themeFillShade="BF"/>
          </w:tcPr>
          <w:p w:rsidR="008567C9" w:rsidRPr="004F3CF4" w:rsidRDefault="006C1F57" w:rsidP="006C1F57">
            <w:r>
              <w:t>Brief description (who/what/when)</w:t>
            </w:r>
          </w:p>
        </w:tc>
      </w:tr>
      <w:tr w:rsidR="008567C9" w:rsidRPr="004F3CF4" w:rsidTr="00BE16AA">
        <w:tc>
          <w:tcPr>
            <w:tcW w:w="7445" w:type="dxa"/>
          </w:tcPr>
          <w:p w:rsidR="008567C9" w:rsidRPr="004F3CF4" w:rsidRDefault="008567C9" w:rsidP="00C66CCE">
            <w:r w:rsidRPr="004F3CF4">
              <w:t>Responsibility for the overall student experience – any significant changes in e.g. Nottingham Student Experience Survey results and results or other indicators should be reported cross campus to School Te</w:t>
            </w:r>
            <w:r w:rsidR="006C1F57">
              <w:t>aching Committee;</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Running of LCF meetings and providing feedback to students on implementation;</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Arrangement of SEM, SET, peer observation and other teaching quality assurance and improvement measures;</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Student welfare and tutorial arrangements;</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t>Student appeals and complaints – only a complaint or appeal that highlights a potential problem with Teaching Quality Assurance procedures need be reported to School Teaching Committee.  Whilst formal student complaints will be investigated locally they will be administered from the UK.  Student appeals that have reached review stage will be considered by the Director of Academic Process  in the UK o</w:t>
            </w:r>
            <w:r w:rsidR="006C1F57">
              <w:t>r their delegate as appropriate;</w:t>
            </w:r>
          </w:p>
        </w:tc>
        <w:tc>
          <w:tcPr>
            <w:tcW w:w="5268" w:type="dxa"/>
          </w:tcPr>
          <w:p w:rsidR="008567C9" w:rsidRPr="004F3CF4" w:rsidRDefault="008567C9" w:rsidP="00C66CCE">
            <w:pPr>
              <w:ind w:left="1080"/>
            </w:pPr>
          </w:p>
        </w:tc>
      </w:tr>
      <w:tr w:rsidR="008567C9" w:rsidRPr="004F3CF4" w:rsidTr="00BE16AA">
        <w:tc>
          <w:tcPr>
            <w:tcW w:w="7445" w:type="dxa"/>
          </w:tcPr>
          <w:p w:rsidR="008567C9" w:rsidRPr="004F3CF4" w:rsidRDefault="008567C9" w:rsidP="00C66CCE">
            <w:r w:rsidRPr="004F3CF4">
              <w:lastRenderedPageBreak/>
              <w:t>Processing of student academic misconduct cases.</w:t>
            </w:r>
          </w:p>
        </w:tc>
        <w:tc>
          <w:tcPr>
            <w:tcW w:w="5268" w:type="dxa"/>
          </w:tcPr>
          <w:p w:rsidR="008567C9" w:rsidRPr="004F3CF4" w:rsidRDefault="008567C9" w:rsidP="00C66CCE">
            <w:pPr>
              <w:ind w:left="1080"/>
            </w:pPr>
          </w:p>
        </w:tc>
      </w:tr>
    </w:tbl>
    <w:p w:rsidR="007419FA" w:rsidRDefault="007419FA" w:rsidP="00C66CCE">
      <w:pPr>
        <w:rPr>
          <w:b/>
        </w:rPr>
      </w:pPr>
      <w:r>
        <w:rPr>
          <w:b/>
        </w:rPr>
        <w:t xml:space="preserve"> </w:t>
      </w:r>
    </w:p>
    <w:p w:rsidR="00C66CCE" w:rsidRDefault="00E52716" w:rsidP="00C66CCE">
      <w:pPr>
        <w:rPr>
          <w:b/>
        </w:rPr>
      </w:pPr>
      <w:r>
        <w:rPr>
          <w:b/>
        </w:rPr>
        <w:t>Issues where responsibilities remain at the discretion of the School / Department / Faculty</w:t>
      </w:r>
      <w:r w:rsidR="007419FA">
        <w:rPr>
          <w:b/>
        </w:rPr>
        <w:t xml:space="preserve"> to be either applied cross-campus or retained locally:</w:t>
      </w:r>
    </w:p>
    <w:tbl>
      <w:tblPr>
        <w:tblStyle w:val="TableGrid"/>
        <w:tblW w:w="0" w:type="auto"/>
        <w:tblInd w:w="720" w:type="dxa"/>
        <w:tblLook w:val="04A0" w:firstRow="1" w:lastRow="0" w:firstColumn="1" w:lastColumn="0" w:noHBand="0" w:noVBand="1"/>
      </w:tblPr>
      <w:tblGrid>
        <w:gridCol w:w="7445"/>
        <w:gridCol w:w="5268"/>
      </w:tblGrid>
      <w:tr w:rsidR="00C66CCE" w:rsidRPr="004F3CF4" w:rsidTr="00BE16AA">
        <w:tc>
          <w:tcPr>
            <w:tcW w:w="7445" w:type="dxa"/>
            <w:shd w:val="clear" w:color="auto" w:fill="A9A28F" w:themeFill="background1" w:themeFillShade="BF"/>
          </w:tcPr>
          <w:p w:rsidR="00C66CCE" w:rsidRPr="004F3CF4" w:rsidRDefault="00C66CCE" w:rsidP="00B60168">
            <w:r w:rsidRPr="004F3CF4">
              <w:t>Assessment and degree award</w:t>
            </w:r>
          </w:p>
        </w:tc>
        <w:tc>
          <w:tcPr>
            <w:tcW w:w="5268" w:type="dxa"/>
            <w:shd w:val="clear" w:color="auto" w:fill="A9A28F" w:themeFill="background1" w:themeFillShade="BF"/>
          </w:tcPr>
          <w:p w:rsidR="00C66CCE" w:rsidRPr="004F3CF4" w:rsidRDefault="006C1F57" w:rsidP="006C1F57">
            <w:r>
              <w:t>Brief description (who/what/when)</w:t>
            </w:r>
          </w:p>
        </w:tc>
      </w:tr>
      <w:tr w:rsidR="00C66CCE" w:rsidRPr="004F3CF4" w:rsidTr="00BE16AA">
        <w:tc>
          <w:tcPr>
            <w:tcW w:w="7445" w:type="dxa"/>
          </w:tcPr>
          <w:p w:rsidR="00C66CCE" w:rsidRPr="004F3CF4" w:rsidRDefault="00C66CCE" w:rsidP="00B60168">
            <w:r w:rsidRPr="004F3CF4">
              <w:t>Assessment of students, including setting of examination papers, marking and moderation processes and timely presentation of moderated marks to exam boards – where agreed, other campuses may assist in exam paper moderation;</w:t>
            </w:r>
          </w:p>
        </w:tc>
        <w:tc>
          <w:tcPr>
            <w:tcW w:w="5268" w:type="dxa"/>
          </w:tcPr>
          <w:p w:rsidR="00C66CCE" w:rsidRPr="004F3CF4" w:rsidRDefault="00C66CCE" w:rsidP="00B60168">
            <w:pPr>
              <w:ind w:left="1080"/>
            </w:pPr>
          </w:p>
        </w:tc>
      </w:tr>
      <w:tr w:rsidR="00C66CCE" w:rsidRPr="004F3CF4" w:rsidTr="00BE16AA">
        <w:tc>
          <w:tcPr>
            <w:tcW w:w="7445" w:type="dxa"/>
          </w:tcPr>
          <w:p w:rsidR="00C66CCE" w:rsidRPr="004F3CF4" w:rsidRDefault="00C66CCE" w:rsidP="00B60168">
            <w:r w:rsidRPr="004F3CF4">
              <w:t>Operation of the processes for considering e</w:t>
            </w:r>
            <w:r w:rsidR="006C1F57">
              <w:t>xtenuating circumstances claims;</w:t>
            </w:r>
          </w:p>
        </w:tc>
        <w:tc>
          <w:tcPr>
            <w:tcW w:w="5268" w:type="dxa"/>
          </w:tcPr>
          <w:p w:rsidR="00C66CCE" w:rsidRPr="004F3CF4" w:rsidRDefault="00C66CCE" w:rsidP="00B60168">
            <w:pPr>
              <w:ind w:left="1080"/>
            </w:pPr>
          </w:p>
        </w:tc>
      </w:tr>
      <w:tr w:rsidR="006C1F57" w:rsidRPr="004F3CF4" w:rsidTr="00B60168">
        <w:tc>
          <w:tcPr>
            <w:tcW w:w="7445" w:type="dxa"/>
            <w:shd w:val="clear" w:color="auto" w:fill="auto"/>
          </w:tcPr>
          <w:p w:rsidR="006C1F57" w:rsidRDefault="006C1F57" w:rsidP="006C1F57">
            <w:r>
              <w:t>Appointment of External Examiners -  (Note it is always</w:t>
            </w:r>
            <w:r w:rsidRPr="004F3CF4">
              <w:t xml:space="preserve"> responsibility of the UK Department to liaise with Academic Services</w:t>
            </w:r>
            <w:r>
              <w:t>)</w:t>
            </w:r>
            <w:r w:rsidRPr="004F3CF4">
              <w:t xml:space="preserve"> but they will consult UNMC and UNNC (as appropriate) before any new appointment, i</w:t>
            </w:r>
            <w:r>
              <w:t>ncluding to request nominations;</w:t>
            </w:r>
          </w:p>
        </w:tc>
        <w:tc>
          <w:tcPr>
            <w:tcW w:w="5268" w:type="dxa"/>
            <w:shd w:val="clear" w:color="auto" w:fill="auto"/>
          </w:tcPr>
          <w:p w:rsidR="006C1F57" w:rsidRPr="004F3CF4" w:rsidRDefault="006C1F57" w:rsidP="00B60168">
            <w:pPr>
              <w:ind w:left="360"/>
            </w:pPr>
          </w:p>
        </w:tc>
      </w:tr>
      <w:tr w:rsidR="00BE16AA" w:rsidRPr="004F3CF4" w:rsidTr="00BE16AA">
        <w:tc>
          <w:tcPr>
            <w:tcW w:w="7445" w:type="dxa"/>
            <w:shd w:val="clear" w:color="auto" w:fill="auto"/>
          </w:tcPr>
          <w:p w:rsidR="00BE16AA" w:rsidRDefault="006C1F57" w:rsidP="00B60168">
            <w:r>
              <w:t>Operation of Examination Boards, reporting of marks and decisions on the level/classification of award.</w:t>
            </w:r>
          </w:p>
        </w:tc>
        <w:tc>
          <w:tcPr>
            <w:tcW w:w="5268" w:type="dxa"/>
            <w:shd w:val="clear" w:color="auto" w:fill="auto"/>
          </w:tcPr>
          <w:p w:rsidR="00BE16AA" w:rsidRPr="004F3CF4" w:rsidRDefault="00BE16AA" w:rsidP="00B60168">
            <w:pPr>
              <w:ind w:left="360"/>
            </w:pPr>
          </w:p>
        </w:tc>
      </w:tr>
      <w:tr w:rsidR="00C66CCE" w:rsidRPr="004F3CF4" w:rsidTr="00BE16AA">
        <w:tc>
          <w:tcPr>
            <w:tcW w:w="7445" w:type="dxa"/>
            <w:shd w:val="clear" w:color="auto" w:fill="A9A28F" w:themeFill="background1" w:themeFillShade="BF"/>
          </w:tcPr>
          <w:p w:rsidR="00C66CCE" w:rsidRPr="004F3CF4" w:rsidRDefault="00BE16AA" w:rsidP="00B60168">
            <w:r>
              <w:t>Curriculum Information</w:t>
            </w:r>
          </w:p>
        </w:tc>
        <w:tc>
          <w:tcPr>
            <w:tcW w:w="5268" w:type="dxa"/>
            <w:shd w:val="clear" w:color="auto" w:fill="A9A28F" w:themeFill="background1" w:themeFillShade="BF"/>
          </w:tcPr>
          <w:p w:rsidR="00C66CCE" w:rsidRPr="004F3CF4" w:rsidRDefault="006C1F57" w:rsidP="006C1F57">
            <w:r>
              <w:t>Brief description (who/what/when)</w:t>
            </w:r>
          </w:p>
        </w:tc>
      </w:tr>
      <w:tr w:rsidR="00C66CCE" w:rsidRPr="004F3CF4" w:rsidTr="00BE16AA">
        <w:tc>
          <w:tcPr>
            <w:tcW w:w="7445" w:type="dxa"/>
          </w:tcPr>
          <w:p w:rsidR="00C66CCE" w:rsidRPr="004F3CF4" w:rsidRDefault="00C66CCE" w:rsidP="00B60168">
            <w:r w:rsidRPr="004F3CF4">
              <w:t>Maintenance of programme, module and other documentation and monitoring to ensure that these are consistent cross-campus;</w:t>
            </w:r>
          </w:p>
        </w:tc>
        <w:tc>
          <w:tcPr>
            <w:tcW w:w="5268" w:type="dxa"/>
          </w:tcPr>
          <w:p w:rsidR="00C66CCE" w:rsidRPr="004F3CF4" w:rsidRDefault="00C66CCE" w:rsidP="00B60168">
            <w:pPr>
              <w:ind w:left="1080"/>
            </w:pPr>
          </w:p>
        </w:tc>
      </w:tr>
      <w:tr w:rsidR="00F40E09" w:rsidRPr="004F3CF4" w:rsidTr="00BE16AA">
        <w:tc>
          <w:tcPr>
            <w:tcW w:w="7445" w:type="dxa"/>
          </w:tcPr>
          <w:p w:rsidR="00F40E09" w:rsidRPr="004F3CF4" w:rsidRDefault="00F40E09" w:rsidP="00B60168">
            <w:r>
              <w:t>Responses to External Examiner reports and Annual Monitoring information;</w:t>
            </w:r>
          </w:p>
        </w:tc>
        <w:tc>
          <w:tcPr>
            <w:tcW w:w="5268" w:type="dxa"/>
          </w:tcPr>
          <w:p w:rsidR="00F40E09" w:rsidRPr="004F3CF4" w:rsidRDefault="00F40E09" w:rsidP="00B60168">
            <w:pPr>
              <w:ind w:left="1080"/>
            </w:pPr>
          </w:p>
        </w:tc>
      </w:tr>
      <w:tr w:rsidR="00C66CCE" w:rsidRPr="004F3CF4" w:rsidTr="00BE16AA">
        <w:tc>
          <w:tcPr>
            <w:tcW w:w="7445" w:type="dxa"/>
          </w:tcPr>
          <w:p w:rsidR="00C66CCE" w:rsidRPr="004F3CF4" w:rsidRDefault="00C66CCE" w:rsidP="00B60168">
            <w:r w:rsidRPr="004F3CF4">
              <w:t>Accreditation submission documentation and reports, and visit arrangements – UNUK will support this by sending staff for visits if appropriate;</w:t>
            </w:r>
          </w:p>
        </w:tc>
        <w:tc>
          <w:tcPr>
            <w:tcW w:w="5268" w:type="dxa"/>
          </w:tcPr>
          <w:p w:rsidR="00C66CCE" w:rsidRPr="004F3CF4" w:rsidRDefault="00C66CCE" w:rsidP="00B60168">
            <w:pPr>
              <w:ind w:left="1080"/>
            </w:pPr>
          </w:p>
        </w:tc>
      </w:tr>
      <w:tr w:rsidR="006C1F57" w:rsidRPr="004F3CF4" w:rsidTr="00BE16AA">
        <w:tc>
          <w:tcPr>
            <w:tcW w:w="7445" w:type="dxa"/>
          </w:tcPr>
          <w:p w:rsidR="006C1F57" w:rsidRPr="004F3CF4" w:rsidRDefault="006C1F57" w:rsidP="00B60168">
            <w:r>
              <w:t>Work and other placement arrangements;</w:t>
            </w:r>
          </w:p>
        </w:tc>
        <w:tc>
          <w:tcPr>
            <w:tcW w:w="5268" w:type="dxa"/>
          </w:tcPr>
          <w:p w:rsidR="006C1F57" w:rsidRPr="004F3CF4" w:rsidRDefault="006C1F57" w:rsidP="00B60168">
            <w:pPr>
              <w:ind w:left="1080"/>
            </w:pPr>
          </w:p>
        </w:tc>
      </w:tr>
      <w:tr w:rsidR="006C1F57" w:rsidRPr="004F3CF4" w:rsidTr="00BE16AA">
        <w:tc>
          <w:tcPr>
            <w:tcW w:w="7445" w:type="dxa"/>
          </w:tcPr>
          <w:p w:rsidR="006C1F57" w:rsidRPr="004F3CF4" w:rsidRDefault="006C1F57" w:rsidP="00B60168">
            <w:r w:rsidRPr="004F3CF4">
              <w:t>Introduction of a new module or any change to the learning outcomes of a module or any other significant change;</w:t>
            </w:r>
          </w:p>
        </w:tc>
        <w:tc>
          <w:tcPr>
            <w:tcW w:w="5268" w:type="dxa"/>
          </w:tcPr>
          <w:p w:rsidR="006C1F57" w:rsidRPr="004F3CF4" w:rsidRDefault="006C1F57" w:rsidP="00B60168">
            <w:pPr>
              <w:ind w:left="1080"/>
            </w:pPr>
          </w:p>
        </w:tc>
      </w:tr>
      <w:tr w:rsidR="006C1F57" w:rsidRPr="004F3CF4" w:rsidTr="00BE16AA">
        <w:tc>
          <w:tcPr>
            <w:tcW w:w="7445" w:type="dxa"/>
          </w:tcPr>
          <w:p w:rsidR="006C1F57" w:rsidRPr="004F3CF4" w:rsidRDefault="006C1F57" w:rsidP="00B60168">
            <w:r w:rsidRPr="004F3CF4">
              <w:t>Withdrawal or suspension of a module</w:t>
            </w:r>
            <w:r>
              <w:t xml:space="preserve">. </w:t>
            </w:r>
          </w:p>
        </w:tc>
        <w:tc>
          <w:tcPr>
            <w:tcW w:w="5268" w:type="dxa"/>
          </w:tcPr>
          <w:p w:rsidR="006C1F57" w:rsidRPr="004F3CF4" w:rsidRDefault="006C1F57" w:rsidP="00B60168">
            <w:pPr>
              <w:ind w:left="1080"/>
            </w:pPr>
          </w:p>
        </w:tc>
      </w:tr>
      <w:tr w:rsidR="00BE16AA" w:rsidRPr="004F3CF4" w:rsidTr="00BE16AA">
        <w:tc>
          <w:tcPr>
            <w:tcW w:w="7445" w:type="dxa"/>
            <w:shd w:val="clear" w:color="auto" w:fill="A9A28F" w:themeFill="background1" w:themeFillShade="BF"/>
          </w:tcPr>
          <w:p w:rsidR="00BE16AA" w:rsidRPr="004F3CF4" w:rsidRDefault="00BE16AA" w:rsidP="00B60168">
            <w:r>
              <w:t>Other</w:t>
            </w:r>
          </w:p>
        </w:tc>
        <w:tc>
          <w:tcPr>
            <w:tcW w:w="5268" w:type="dxa"/>
            <w:shd w:val="clear" w:color="auto" w:fill="A9A28F" w:themeFill="background1" w:themeFillShade="BF"/>
          </w:tcPr>
          <w:p w:rsidR="00BE16AA" w:rsidRPr="004F3CF4" w:rsidRDefault="006C1F57" w:rsidP="006C1F57">
            <w:r>
              <w:t>Brief description (who/what/when)</w:t>
            </w:r>
          </w:p>
        </w:tc>
      </w:tr>
      <w:tr w:rsidR="00BE16AA" w:rsidRPr="004F3CF4" w:rsidTr="00BE16AA">
        <w:tc>
          <w:tcPr>
            <w:tcW w:w="7445" w:type="dxa"/>
          </w:tcPr>
          <w:p w:rsidR="00BE16AA" w:rsidRPr="004F3CF4" w:rsidRDefault="00BE16AA" w:rsidP="00B60168">
            <w:r w:rsidRPr="004F3CF4">
              <w:t xml:space="preserve">Health and safety of students and staff. </w:t>
            </w:r>
          </w:p>
        </w:tc>
        <w:tc>
          <w:tcPr>
            <w:tcW w:w="5268" w:type="dxa"/>
          </w:tcPr>
          <w:p w:rsidR="00BE16AA" w:rsidRPr="004F3CF4" w:rsidRDefault="00BE16AA" w:rsidP="00B60168">
            <w:pPr>
              <w:ind w:left="1080"/>
            </w:pPr>
          </w:p>
        </w:tc>
      </w:tr>
    </w:tbl>
    <w:p w:rsidR="00C66CCE" w:rsidRDefault="00C66CCE" w:rsidP="00C66CCE">
      <w:pPr>
        <w:rPr>
          <w:b/>
        </w:rPr>
      </w:pPr>
    </w:p>
    <w:p w:rsidR="008567C9" w:rsidRPr="00C66CCE" w:rsidRDefault="00E52716" w:rsidP="00C66CCE">
      <w:pPr>
        <w:rPr>
          <w:b/>
        </w:rPr>
      </w:pPr>
      <w:r>
        <w:rPr>
          <w:b/>
        </w:rPr>
        <w:t>Issues where responsibility is assigned to one campus for activities in that School / Department / Faculty on all campuses</w:t>
      </w:r>
      <w:r w:rsidR="007419FA">
        <w:rPr>
          <w:b/>
        </w:rPr>
        <w:t>:</w:t>
      </w:r>
    </w:p>
    <w:tbl>
      <w:tblPr>
        <w:tblStyle w:val="TableGrid"/>
        <w:tblW w:w="0" w:type="auto"/>
        <w:tblInd w:w="720" w:type="dxa"/>
        <w:tblLook w:val="04A0" w:firstRow="1" w:lastRow="0" w:firstColumn="1" w:lastColumn="0" w:noHBand="0" w:noVBand="1"/>
      </w:tblPr>
      <w:tblGrid>
        <w:gridCol w:w="7468"/>
        <w:gridCol w:w="5245"/>
      </w:tblGrid>
      <w:tr w:rsidR="008567C9" w:rsidRPr="004F3CF4" w:rsidTr="00BE16AA">
        <w:tc>
          <w:tcPr>
            <w:tcW w:w="7468" w:type="dxa"/>
            <w:shd w:val="clear" w:color="auto" w:fill="A9A28F" w:themeFill="background1" w:themeFillShade="BF"/>
          </w:tcPr>
          <w:p w:rsidR="008567C9" w:rsidRPr="004F3CF4" w:rsidRDefault="008567C9" w:rsidP="00C66CCE">
            <w:r w:rsidRPr="004F3CF4">
              <w:t>Teaching Quality Assurance</w:t>
            </w:r>
          </w:p>
        </w:tc>
        <w:tc>
          <w:tcPr>
            <w:tcW w:w="5245" w:type="dxa"/>
            <w:shd w:val="clear" w:color="auto" w:fill="A9A28F" w:themeFill="background1" w:themeFillShade="BF"/>
          </w:tcPr>
          <w:p w:rsidR="008567C9" w:rsidRPr="004F3CF4" w:rsidRDefault="006C1F57" w:rsidP="006C1F57">
            <w:r>
              <w:t>Brief description (who/what/when)</w:t>
            </w:r>
          </w:p>
        </w:tc>
      </w:tr>
      <w:tr w:rsidR="008567C9" w:rsidRPr="004F3CF4" w:rsidTr="00BE16AA">
        <w:tc>
          <w:tcPr>
            <w:tcW w:w="7468" w:type="dxa"/>
          </w:tcPr>
          <w:p w:rsidR="008567C9" w:rsidRPr="004F3CF4" w:rsidRDefault="008567C9" w:rsidP="00C66CCE">
            <w:r w:rsidRPr="004F3CF4">
              <w:lastRenderedPageBreak/>
              <w:t>Introduction of a new programme of study or the significant modification of a programme;</w:t>
            </w:r>
          </w:p>
        </w:tc>
        <w:tc>
          <w:tcPr>
            <w:tcW w:w="5245" w:type="dxa"/>
          </w:tcPr>
          <w:p w:rsidR="008567C9" w:rsidRPr="004F3CF4" w:rsidRDefault="008567C9" w:rsidP="00C66CCE">
            <w:pPr>
              <w:ind w:left="1080"/>
            </w:pPr>
          </w:p>
        </w:tc>
      </w:tr>
      <w:tr w:rsidR="008567C9" w:rsidRPr="004F3CF4" w:rsidTr="00BE16AA">
        <w:tc>
          <w:tcPr>
            <w:tcW w:w="7468" w:type="dxa"/>
          </w:tcPr>
          <w:p w:rsidR="008567C9" w:rsidRPr="004F3CF4" w:rsidRDefault="008567C9" w:rsidP="00C66CCE">
            <w:r w:rsidRPr="004F3CF4">
              <w:t>Withdrawal or suspension of a programme of study;</w:t>
            </w:r>
          </w:p>
        </w:tc>
        <w:tc>
          <w:tcPr>
            <w:tcW w:w="5245" w:type="dxa"/>
          </w:tcPr>
          <w:p w:rsidR="008567C9" w:rsidRPr="004F3CF4" w:rsidRDefault="008567C9" w:rsidP="00C66CCE">
            <w:pPr>
              <w:ind w:left="1080"/>
            </w:pPr>
          </w:p>
        </w:tc>
      </w:tr>
      <w:tr w:rsidR="006C1F57" w:rsidRPr="004F3CF4" w:rsidTr="00BE16AA">
        <w:tc>
          <w:tcPr>
            <w:tcW w:w="7468" w:type="dxa"/>
          </w:tcPr>
          <w:p w:rsidR="006C1F57" w:rsidRPr="004F3CF4" w:rsidRDefault="006C1F57" w:rsidP="00C66CCE">
            <w:r>
              <w:t>Review of External Examiner Reports and</w:t>
            </w:r>
            <w:r w:rsidR="005547F2">
              <w:t xml:space="preserve"> Annual Monitoring information; </w:t>
            </w:r>
          </w:p>
        </w:tc>
        <w:tc>
          <w:tcPr>
            <w:tcW w:w="5245" w:type="dxa"/>
          </w:tcPr>
          <w:p w:rsidR="006C1F57" w:rsidRPr="004F3CF4" w:rsidRDefault="006C1F57" w:rsidP="00C66CCE">
            <w:pPr>
              <w:ind w:left="1080"/>
            </w:pPr>
          </w:p>
        </w:tc>
      </w:tr>
      <w:tr w:rsidR="005547F2" w:rsidRPr="004F3CF4" w:rsidTr="00BE16AA">
        <w:tc>
          <w:tcPr>
            <w:tcW w:w="7468" w:type="dxa"/>
          </w:tcPr>
          <w:p w:rsidR="005547F2" w:rsidRDefault="005547F2" w:rsidP="00C66CCE">
            <w:r>
              <w:t>Review of Devolution Statement.</w:t>
            </w:r>
          </w:p>
        </w:tc>
        <w:tc>
          <w:tcPr>
            <w:tcW w:w="5245" w:type="dxa"/>
          </w:tcPr>
          <w:p w:rsidR="005547F2" w:rsidRPr="004F3CF4" w:rsidRDefault="005547F2" w:rsidP="00C66CCE">
            <w:pPr>
              <w:ind w:left="1080"/>
            </w:pPr>
          </w:p>
        </w:tc>
      </w:tr>
      <w:tr w:rsidR="008567C9" w:rsidRPr="004F3CF4" w:rsidTr="00BE16AA">
        <w:tc>
          <w:tcPr>
            <w:tcW w:w="7468" w:type="dxa"/>
            <w:shd w:val="clear" w:color="auto" w:fill="A9A28F" w:themeFill="background1" w:themeFillShade="BF"/>
          </w:tcPr>
          <w:p w:rsidR="008567C9" w:rsidRPr="004F3CF4" w:rsidRDefault="008567C9" w:rsidP="00C66CCE">
            <w:r w:rsidRPr="004F3CF4">
              <w:t>Student mobility</w:t>
            </w:r>
          </w:p>
        </w:tc>
        <w:tc>
          <w:tcPr>
            <w:tcW w:w="5245" w:type="dxa"/>
            <w:shd w:val="clear" w:color="auto" w:fill="A9A28F" w:themeFill="background1" w:themeFillShade="BF"/>
          </w:tcPr>
          <w:p w:rsidR="008567C9" w:rsidRPr="004F3CF4" w:rsidRDefault="006C1F57" w:rsidP="006C1F57">
            <w:r>
              <w:t>Brief description (who/what/when)</w:t>
            </w:r>
          </w:p>
        </w:tc>
      </w:tr>
      <w:tr w:rsidR="008567C9" w:rsidRPr="004F3CF4" w:rsidTr="00BE16AA">
        <w:tc>
          <w:tcPr>
            <w:tcW w:w="7468" w:type="dxa"/>
          </w:tcPr>
          <w:p w:rsidR="008567C9" w:rsidRPr="004F3CF4" w:rsidRDefault="008567C9" w:rsidP="00C66CCE">
            <w:r w:rsidRPr="004F3CF4">
              <w:t>Arrangements for inter-campus transfer and exchange.</w:t>
            </w:r>
          </w:p>
        </w:tc>
        <w:tc>
          <w:tcPr>
            <w:tcW w:w="5245" w:type="dxa"/>
          </w:tcPr>
          <w:p w:rsidR="008567C9" w:rsidRPr="004F3CF4" w:rsidRDefault="008567C9" w:rsidP="00C66CCE">
            <w:pPr>
              <w:ind w:left="1080"/>
            </w:pPr>
          </w:p>
        </w:tc>
      </w:tr>
      <w:tr w:rsidR="008567C9" w:rsidRPr="004F3CF4" w:rsidTr="00BE16AA">
        <w:tc>
          <w:tcPr>
            <w:tcW w:w="7468" w:type="dxa"/>
            <w:shd w:val="clear" w:color="auto" w:fill="A9A28F" w:themeFill="background1" w:themeFillShade="BF"/>
          </w:tcPr>
          <w:p w:rsidR="008567C9" w:rsidRPr="004F3CF4" w:rsidRDefault="008567C9" w:rsidP="00C66CCE">
            <w:r w:rsidRPr="004F3CF4">
              <w:t>External agreements</w:t>
            </w:r>
          </w:p>
        </w:tc>
        <w:tc>
          <w:tcPr>
            <w:tcW w:w="5245" w:type="dxa"/>
            <w:shd w:val="clear" w:color="auto" w:fill="A9A28F" w:themeFill="background1" w:themeFillShade="BF"/>
          </w:tcPr>
          <w:p w:rsidR="008567C9" w:rsidRPr="004F3CF4" w:rsidRDefault="006C1F57" w:rsidP="006C1F57">
            <w:r>
              <w:t>Brief description (who/what/when)</w:t>
            </w:r>
          </w:p>
        </w:tc>
      </w:tr>
      <w:tr w:rsidR="008567C9" w:rsidRPr="00F2125B" w:rsidTr="00BE16AA">
        <w:tc>
          <w:tcPr>
            <w:tcW w:w="7468" w:type="dxa"/>
          </w:tcPr>
          <w:p w:rsidR="008567C9" w:rsidRPr="00C66CCE" w:rsidRDefault="008567C9" w:rsidP="006C1F57">
            <w:pPr>
              <w:rPr>
                <w:b/>
              </w:rPr>
            </w:pPr>
            <w:r w:rsidRPr="004F3CF4">
              <w:t>Establishment of any new Memoranda of Understanding or Agreement.</w:t>
            </w:r>
          </w:p>
        </w:tc>
        <w:tc>
          <w:tcPr>
            <w:tcW w:w="5245" w:type="dxa"/>
          </w:tcPr>
          <w:p w:rsidR="008567C9" w:rsidRPr="004F3CF4" w:rsidRDefault="008567C9" w:rsidP="00C66CCE">
            <w:pPr>
              <w:ind w:left="1080"/>
            </w:pPr>
          </w:p>
        </w:tc>
      </w:tr>
    </w:tbl>
    <w:p w:rsidR="00475123" w:rsidRDefault="00475123" w:rsidP="00C66CCE">
      <w:pPr>
        <w:rPr>
          <w:b/>
        </w:rPr>
      </w:pPr>
    </w:p>
    <w:p w:rsidR="002D062C" w:rsidRDefault="006C1F57" w:rsidP="006C1F57">
      <w:pPr>
        <w:rPr>
          <w:b/>
        </w:rPr>
      </w:pPr>
      <w:r>
        <w:rPr>
          <w:b/>
        </w:rPr>
        <w:t>Please note that the above is not an exhaustive list and the expectation is that Schools will add rows to relevant sections where any elements of programme delivery are not covered.</w:t>
      </w:r>
    </w:p>
    <w:p w:rsidR="00B00B8C" w:rsidRPr="00A82AF1" w:rsidRDefault="005547F2" w:rsidP="006C1F57">
      <w:pPr>
        <w:rPr>
          <w:b/>
        </w:rPr>
      </w:pPr>
      <w:r>
        <w:rPr>
          <w:b/>
        </w:rPr>
        <w:t>Form Completed by (name/role):</w:t>
      </w:r>
    </w:p>
    <w:p w:rsidR="002D062C" w:rsidRPr="002D062C" w:rsidRDefault="002D062C" w:rsidP="006C1F57">
      <w:pPr>
        <w:rPr>
          <w:b/>
          <w:u w:val="single"/>
        </w:rPr>
      </w:pPr>
      <w:r>
        <w:rPr>
          <w:b/>
          <w:noProof/>
          <w:u w:val="single"/>
          <w:lang w:eastAsia="en-GB"/>
        </w:rPr>
        <mc:AlternateContent>
          <mc:Choice Requires="wps">
            <w:drawing>
              <wp:anchor distT="0" distB="0" distL="114300" distR="114300" simplePos="0" relativeHeight="251659264" behindDoc="0" locked="0" layoutInCell="1" allowOverlap="1" wp14:anchorId="7EB64D69" wp14:editId="57BB06A1">
                <wp:simplePos x="0" y="0"/>
                <wp:positionH relativeFrom="column">
                  <wp:posOffset>9525</wp:posOffset>
                </wp:positionH>
                <wp:positionV relativeFrom="paragraph">
                  <wp:posOffset>171450</wp:posOffset>
                </wp:positionV>
                <wp:extent cx="31527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3152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1ACFEE9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5pt" to="24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" strokecolor="black [3040]"/>
            </w:pict>
          </mc:Fallback>
        </mc:AlternateContent>
      </w:r>
    </w:p>
    <w:p w:rsidR="00A82AF1" w:rsidRDefault="005547F2" w:rsidP="00A82AF1">
      <w:pPr>
        <w:rPr>
          <w:b/>
        </w:rPr>
      </w:pPr>
      <w:r>
        <w:rPr>
          <w:b/>
        </w:rPr>
        <w:t xml:space="preserve">Form </w:t>
      </w:r>
      <w:proofErr w:type="gramStart"/>
      <w:r>
        <w:rPr>
          <w:b/>
        </w:rPr>
        <w:t>Signed</w:t>
      </w:r>
      <w:proofErr w:type="gramEnd"/>
      <w:r>
        <w:rPr>
          <w:b/>
        </w:rPr>
        <w:t xml:space="preserve"> off by </w:t>
      </w:r>
      <w:r w:rsidR="009C2C80">
        <w:rPr>
          <w:b/>
        </w:rPr>
        <w:t xml:space="preserve">Head of School </w:t>
      </w:r>
      <w:r w:rsidR="00A82AF1">
        <w:rPr>
          <w:b/>
        </w:rPr>
        <w:t>with</w:t>
      </w:r>
      <w:r w:rsidR="009C2C80">
        <w:rPr>
          <w:b/>
        </w:rPr>
        <w:t xml:space="preserve"> responsibility for the Devolution Statement</w:t>
      </w:r>
      <w:r>
        <w:rPr>
          <w:b/>
        </w:rPr>
        <w:t>:</w:t>
      </w:r>
      <w:r w:rsidR="00A82AF1">
        <w:rPr>
          <w:b/>
        </w:rPr>
        <w:t xml:space="preserve"> (the Heads of School at each campus to which the Statement applies should sign)</w:t>
      </w:r>
    </w:p>
    <w:p w:rsidR="002D062C" w:rsidRDefault="002D062C" w:rsidP="00A82AF1">
      <w:pPr>
        <w:rPr>
          <w:b/>
        </w:rPr>
      </w:pPr>
      <w:r>
        <w:rPr>
          <w:b/>
          <w:noProof/>
          <w:lang w:eastAsia="en-GB"/>
        </w:rPr>
        <mc:AlternateContent>
          <mc:Choice Requires="wps">
            <w:drawing>
              <wp:anchor distT="0" distB="0" distL="114300" distR="114300" simplePos="0" relativeHeight="251660288" behindDoc="0" locked="0" layoutInCell="1" allowOverlap="1" wp14:anchorId="0CF0A38D" wp14:editId="696CDF58">
                <wp:simplePos x="0" y="0"/>
                <wp:positionH relativeFrom="column">
                  <wp:posOffset>9525</wp:posOffset>
                </wp:positionH>
                <wp:positionV relativeFrom="paragraph">
                  <wp:posOffset>125730</wp:posOffset>
                </wp:positionV>
                <wp:extent cx="3219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C50B67"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9pt" to="254.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" strokecolor="black [3040]"/>
            </w:pict>
          </mc:Fallback>
        </mc:AlternateContent>
      </w:r>
      <w:r w:rsidR="00A82AF1">
        <w:rPr>
          <w:b/>
        </w:rPr>
        <w:tab/>
      </w:r>
    </w:p>
    <w:p w:rsidR="00A82AF1" w:rsidRDefault="00A82AF1" w:rsidP="006C1F57">
      <w:pPr>
        <w:rPr>
          <w:b/>
        </w:rPr>
      </w:pPr>
      <w:r>
        <w:rPr>
          <w:b/>
          <w:noProof/>
          <w:lang w:eastAsia="en-GB"/>
        </w:rPr>
        <mc:AlternateContent>
          <mc:Choice Requires="wps">
            <w:drawing>
              <wp:anchor distT="0" distB="0" distL="114300" distR="114300" simplePos="0" relativeHeight="251662336" behindDoc="0" locked="0" layoutInCell="1" allowOverlap="1" wp14:anchorId="3225BE34" wp14:editId="6CFE8C75">
                <wp:simplePos x="0" y="0"/>
                <wp:positionH relativeFrom="margin">
                  <wp:align>left</wp:align>
                </wp:positionH>
                <wp:positionV relativeFrom="paragraph">
                  <wp:posOffset>112395</wp:posOffset>
                </wp:positionV>
                <wp:extent cx="3219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219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A9585C1" id="Straight Connector 3" o:spid="_x0000_s1026" style="position:absolute;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8.85pt" to="25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">
                <w10:wrap anchorx="margin"/>
              </v:line>
            </w:pict>
          </mc:Fallback>
        </mc:AlternateContent>
      </w:r>
    </w:p>
    <w:bookmarkStart w:id="0" w:name="_GoBack"/>
    <w:bookmarkEnd w:id="0"/>
    <w:p w:rsidR="00A82AF1" w:rsidRDefault="00A82AF1" w:rsidP="006C1F57">
      <w:pPr>
        <w:rPr>
          <w:b/>
        </w:rPr>
      </w:pPr>
      <w:r>
        <w:rPr>
          <w:b/>
          <w:noProof/>
          <w:lang w:eastAsia="en-GB"/>
        </w:rPr>
        <mc:AlternateContent>
          <mc:Choice Requires="wps">
            <w:drawing>
              <wp:anchor distT="0" distB="0" distL="114300" distR="114300" simplePos="0" relativeHeight="251664384" behindDoc="0" locked="0" layoutInCell="1" allowOverlap="1" wp14:anchorId="041BAC18" wp14:editId="34A5CEF0">
                <wp:simplePos x="0" y="0"/>
                <wp:positionH relativeFrom="margin">
                  <wp:align>left</wp:align>
                </wp:positionH>
                <wp:positionV relativeFrom="paragraph">
                  <wp:posOffset>151130</wp:posOffset>
                </wp:positionV>
                <wp:extent cx="3219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3219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18CBC6C" id="Straight Connector 4" o:spid="_x0000_s1026" style="position:absolute;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1.9pt" to="25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">
                <w10:wrap anchorx="margin"/>
              </v:line>
            </w:pict>
          </mc:Fallback>
        </mc:AlternateContent>
      </w:r>
    </w:p>
    <w:p w:rsidR="005547F2" w:rsidRPr="008567C9" w:rsidRDefault="005547F2" w:rsidP="006C1F57">
      <w:pPr>
        <w:rPr>
          <w:b/>
        </w:rPr>
      </w:pPr>
      <w:r>
        <w:rPr>
          <w:b/>
        </w:rPr>
        <w:t>Date:</w:t>
      </w:r>
    </w:p>
    <w:sectPr w:rsidR="005547F2" w:rsidRPr="008567C9" w:rsidSect="002D062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87" w:rsidRDefault="00CF0187" w:rsidP="005C7E57">
      <w:r>
        <w:separator/>
      </w:r>
    </w:p>
  </w:endnote>
  <w:endnote w:type="continuationSeparator" w:id="0">
    <w:p w:rsidR="00CF0187" w:rsidRDefault="00CF0187" w:rsidP="005C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881431"/>
      <w:docPartObj>
        <w:docPartGallery w:val="Page Numbers (Bottom of Page)"/>
        <w:docPartUnique/>
      </w:docPartObj>
    </w:sdtPr>
    <w:sdtEndPr>
      <w:rPr>
        <w:noProof/>
      </w:rPr>
    </w:sdtEndPr>
    <w:sdtContent>
      <w:p w:rsidR="007419FA" w:rsidRDefault="007419FA">
        <w:pPr>
          <w:pStyle w:val="Footer"/>
          <w:jc w:val="center"/>
        </w:pPr>
        <w:r>
          <w:fldChar w:fldCharType="begin"/>
        </w:r>
        <w:r>
          <w:instrText xml:space="preserve"> PAGE   \* MERGEFORMAT </w:instrText>
        </w:r>
        <w:r>
          <w:fldChar w:fldCharType="separate"/>
        </w:r>
        <w:r w:rsidR="00721FD7">
          <w:rPr>
            <w:noProof/>
          </w:rPr>
          <w:t>5</w:t>
        </w:r>
        <w:r>
          <w:rPr>
            <w:noProof/>
          </w:rPr>
          <w:fldChar w:fldCharType="end"/>
        </w:r>
      </w:p>
    </w:sdtContent>
  </w:sdt>
  <w:p w:rsidR="007419FA" w:rsidRDefault="00741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87" w:rsidRDefault="00CF0187" w:rsidP="005C7E57">
      <w:r>
        <w:separator/>
      </w:r>
    </w:p>
  </w:footnote>
  <w:footnote w:type="continuationSeparator" w:id="0">
    <w:p w:rsidR="00CF0187" w:rsidRDefault="00CF0187" w:rsidP="005C7E57">
      <w:r>
        <w:continuationSeparator/>
      </w:r>
    </w:p>
  </w:footnote>
  <w:footnote w:id="1">
    <w:p w:rsidR="00CD0D45" w:rsidRDefault="00CD0D45">
      <w:pPr>
        <w:pStyle w:val="FootnoteText"/>
      </w:pPr>
      <w:r>
        <w:rPr>
          <w:rStyle w:val="FootnoteReference"/>
        </w:rPr>
        <w:footnoteRef/>
      </w:r>
      <w:r>
        <w:t xml:space="preserve"> It is assumed, unless otherwise stated, that any fallback awards associated with this list are also covered by this documentation</w:t>
      </w:r>
    </w:p>
  </w:footnote>
  <w:footnote w:id="2">
    <w:p w:rsidR="00CA762C" w:rsidRDefault="00CA762C" w:rsidP="00CA762C">
      <w:pPr>
        <w:pStyle w:val="FootnoteText"/>
      </w:pPr>
      <w:r>
        <w:rPr>
          <w:rStyle w:val="FootnoteReference"/>
        </w:rPr>
        <w:footnoteRef/>
      </w:r>
      <w:r w:rsidRPr="00CC690C">
        <w:t>http://www.nottingham.ac.uk/academicservices/qualitymanual/curriculum/international-campuses-and-quality-assurance.aspx</w:t>
      </w:r>
      <w:r w:rsidR="00CC690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32E8"/>
    <w:multiLevelType w:val="hybridMultilevel"/>
    <w:tmpl w:val="6316B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60BA7"/>
    <w:multiLevelType w:val="hybridMultilevel"/>
    <w:tmpl w:val="1F009D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37540B"/>
    <w:multiLevelType w:val="hybridMultilevel"/>
    <w:tmpl w:val="F6FA7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11530"/>
    <w:multiLevelType w:val="hybridMultilevel"/>
    <w:tmpl w:val="1F009D4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2EF5F96"/>
    <w:multiLevelType w:val="hybridMultilevel"/>
    <w:tmpl w:val="0B0E5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70EE0"/>
    <w:multiLevelType w:val="hybridMultilevel"/>
    <w:tmpl w:val="C45EC32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67BD2"/>
    <w:multiLevelType w:val="hybridMultilevel"/>
    <w:tmpl w:val="00D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F5D3A"/>
    <w:multiLevelType w:val="hybridMultilevel"/>
    <w:tmpl w:val="D1D0C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464ED2"/>
    <w:multiLevelType w:val="hybridMultilevel"/>
    <w:tmpl w:val="333C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02FA0"/>
    <w:multiLevelType w:val="hybridMultilevel"/>
    <w:tmpl w:val="B574A3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7B6127"/>
    <w:multiLevelType w:val="multilevel"/>
    <w:tmpl w:val="262CC2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5D32F70"/>
    <w:multiLevelType w:val="hybridMultilevel"/>
    <w:tmpl w:val="B574A3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B2B1D"/>
    <w:multiLevelType w:val="multilevel"/>
    <w:tmpl w:val="16DE96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F987CF0"/>
    <w:multiLevelType w:val="hybridMultilevel"/>
    <w:tmpl w:val="B6426E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27DC5"/>
    <w:multiLevelType w:val="multilevel"/>
    <w:tmpl w:val="EAD21726"/>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5" w15:restartNumberingAfterBreak="0">
    <w:nsid w:val="5D803714"/>
    <w:multiLevelType w:val="hybridMultilevel"/>
    <w:tmpl w:val="FB44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4E5062"/>
    <w:multiLevelType w:val="hybridMultilevel"/>
    <w:tmpl w:val="B6426ED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A3083F"/>
    <w:multiLevelType w:val="hybridMultilevel"/>
    <w:tmpl w:val="03E4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D09AB"/>
    <w:multiLevelType w:val="hybridMultilevel"/>
    <w:tmpl w:val="F774BE6C"/>
    <w:lvl w:ilvl="0" w:tplc="7172B96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B0A04"/>
    <w:multiLevelType w:val="hybridMultilevel"/>
    <w:tmpl w:val="A3DE291C"/>
    <w:lvl w:ilvl="0" w:tplc="7C485322">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087FFD"/>
    <w:multiLevelType w:val="hybridMultilevel"/>
    <w:tmpl w:val="5A68BDFE"/>
    <w:lvl w:ilvl="0" w:tplc="2962EA90">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45A14"/>
    <w:multiLevelType w:val="hybridMultilevel"/>
    <w:tmpl w:val="0F4C2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17"/>
  </w:num>
  <w:num w:numId="6">
    <w:abstractNumId w:val="8"/>
  </w:num>
  <w:num w:numId="7">
    <w:abstractNumId w:val="5"/>
  </w:num>
  <w:num w:numId="8">
    <w:abstractNumId w:val="3"/>
  </w:num>
  <w:num w:numId="9">
    <w:abstractNumId w:val="9"/>
  </w:num>
  <w:num w:numId="10">
    <w:abstractNumId w:val="20"/>
  </w:num>
  <w:num w:numId="11">
    <w:abstractNumId w:val="19"/>
  </w:num>
  <w:num w:numId="12">
    <w:abstractNumId w:val="1"/>
  </w:num>
  <w:num w:numId="13">
    <w:abstractNumId w:val="13"/>
  </w:num>
  <w:num w:numId="14">
    <w:abstractNumId w:val="16"/>
  </w:num>
  <w:num w:numId="15">
    <w:abstractNumId w:val="11"/>
  </w:num>
  <w:num w:numId="16">
    <w:abstractNumId w:val="4"/>
  </w:num>
  <w:num w:numId="17">
    <w:abstractNumId w:val="12"/>
  </w:num>
  <w:num w:numId="18">
    <w:abstractNumId w:val="15"/>
  </w:num>
  <w:num w:numId="19">
    <w:abstractNumId w:val="10"/>
  </w:num>
  <w:num w:numId="20">
    <w:abstractNumId w:val="14"/>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5"/>
    <w:rsid w:val="00002369"/>
    <w:rsid w:val="00007B5F"/>
    <w:rsid w:val="000404B9"/>
    <w:rsid w:val="00075B50"/>
    <w:rsid w:val="00076448"/>
    <w:rsid w:val="000913A5"/>
    <w:rsid w:val="000A1139"/>
    <w:rsid w:val="000A3DA4"/>
    <w:rsid w:val="000B3865"/>
    <w:rsid w:val="000F7CB0"/>
    <w:rsid w:val="00104FFF"/>
    <w:rsid w:val="00146B49"/>
    <w:rsid w:val="00150A71"/>
    <w:rsid w:val="00165D59"/>
    <w:rsid w:val="00181106"/>
    <w:rsid w:val="001D77D5"/>
    <w:rsid w:val="0022297E"/>
    <w:rsid w:val="00255D70"/>
    <w:rsid w:val="00264650"/>
    <w:rsid w:val="0027629C"/>
    <w:rsid w:val="002870F2"/>
    <w:rsid w:val="002D062C"/>
    <w:rsid w:val="002E4158"/>
    <w:rsid w:val="002F0622"/>
    <w:rsid w:val="00352676"/>
    <w:rsid w:val="00356C7D"/>
    <w:rsid w:val="003665C7"/>
    <w:rsid w:val="00377F99"/>
    <w:rsid w:val="00382DBD"/>
    <w:rsid w:val="003951CA"/>
    <w:rsid w:val="003A1FD6"/>
    <w:rsid w:val="003B0573"/>
    <w:rsid w:val="003C3834"/>
    <w:rsid w:val="003C4523"/>
    <w:rsid w:val="003C75B5"/>
    <w:rsid w:val="003D4C50"/>
    <w:rsid w:val="0045698F"/>
    <w:rsid w:val="00472EA2"/>
    <w:rsid w:val="00475123"/>
    <w:rsid w:val="004779DC"/>
    <w:rsid w:val="004B56E3"/>
    <w:rsid w:val="004F1425"/>
    <w:rsid w:val="004F6EC0"/>
    <w:rsid w:val="005244C0"/>
    <w:rsid w:val="00535C24"/>
    <w:rsid w:val="005547F2"/>
    <w:rsid w:val="005807CE"/>
    <w:rsid w:val="00587E8E"/>
    <w:rsid w:val="00591249"/>
    <w:rsid w:val="005B7444"/>
    <w:rsid w:val="005C7E57"/>
    <w:rsid w:val="005E575B"/>
    <w:rsid w:val="005F7A26"/>
    <w:rsid w:val="0061413F"/>
    <w:rsid w:val="0063586B"/>
    <w:rsid w:val="00654680"/>
    <w:rsid w:val="006A0010"/>
    <w:rsid w:val="006C1E6A"/>
    <w:rsid w:val="006C1F57"/>
    <w:rsid w:val="006D48A4"/>
    <w:rsid w:val="006F1188"/>
    <w:rsid w:val="006F3B4C"/>
    <w:rsid w:val="0070216E"/>
    <w:rsid w:val="00721FD7"/>
    <w:rsid w:val="007419FA"/>
    <w:rsid w:val="00750F15"/>
    <w:rsid w:val="00767535"/>
    <w:rsid w:val="00772E61"/>
    <w:rsid w:val="007968E2"/>
    <w:rsid w:val="007A1868"/>
    <w:rsid w:val="007A2478"/>
    <w:rsid w:val="007B3258"/>
    <w:rsid w:val="007F441A"/>
    <w:rsid w:val="007F777E"/>
    <w:rsid w:val="00813741"/>
    <w:rsid w:val="008335F8"/>
    <w:rsid w:val="00852339"/>
    <w:rsid w:val="008567C9"/>
    <w:rsid w:val="00865053"/>
    <w:rsid w:val="00892839"/>
    <w:rsid w:val="0089679C"/>
    <w:rsid w:val="008B1A36"/>
    <w:rsid w:val="008B3888"/>
    <w:rsid w:val="008F42C3"/>
    <w:rsid w:val="008F76F7"/>
    <w:rsid w:val="00901205"/>
    <w:rsid w:val="00906649"/>
    <w:rsid w:val="00907C78"/>
    <w:rsid w:val="00933021"/>
    <w:rsid w:val="00942137"/>
    <w:rsid w:val="00943516"/>
    <w:rsid w:val="009C2C80"/>
    <w:rsid w:val="009E7CF1"/>
    <w:rsid w:val="009F6BEC"/>
    <w:rsid w:val="00A15711"/>
    <w:rsid w:val="00A2217B"/>
    <w:rsid w:val="00A765C4"/>
    <w:rsid w:val="00A76680"/>
    <w:rsid w:val="00A82AF1"/>
    <w:rsid w:val="00AA3627"/>
    <w:rsid w:val="00B00B8C"/>
    <w:rsid w:val="00B24ECF"/>
    <w:rsid w:val="00B60643"/>
    <w:rsid w:val="00B940D1"/>
    <w:rsid w:val="00BA18A1"/>
    <w:rsid w:val="00BB43F7"/>
    <w:rsid w:val="00BC3676"/>
    <w:rsid w:val="00BD4451"/>
    <w:rsid w:val="00BE16AA"/>
    <w:rsid w:val="00BF276B"/>
    <w:rsid w:val="00C010D0"/>
    <w:rsid w:val="00C115E9"/>
    <w:rsid w:val="00C251D6"/>
    <w:rsid w:val="00C533A4"/>
    <w:rsid w:val="00C66CCE"/>
    <w:rsid w:val="00C829E9"/>
    <w:rsid w:val="00CA762C"/>
    <w:rsid w:val="00CC690C"/>
    <w:rsid w:val="00CD0D45"/>
    <w:rsid w:val="00CF0187"/>
    <w:rsid w:val="00CF5994"/>
    <w:rsid w:val="00D2483A"/>
    <w:rsid w:val="00D336F7"/>
    <w:rsid w:val="00D64F45"/>
    <w:rsid w:val="00D76F3A"/>
    <w:rsid w:val="00D86BBF"/>
    <w:rsid w:val="00D87722"/>
    <w:rsid w:val="00D9359C"/>
    <w:rsid w:val="00E03302"/>
    <w:rsid w:val="00E52716"/>
    <w:rsid w:val="00E60573"/>
    <w:rsid w:val="00E65471"/>
    <w:rsid w:val="00E83FDD"/>
    <w:rsid w:val="00E91689"/>
    <w:rsid w:val="00EB5FC0"/>
    <w:rsid w:val="00EC455D"/>
    <w:rsid w:val="00ED5707"/>
    <w:rsid w:val="00EF4F5D"/>
    <w:rsid w:val="00EF7016"/>
    <w:rsid w:val="00F2125B"/>
    <w:rsid w:val="00F357E6"/>
    <w:rsid w:val="00F40E09"/>
    <w:rsid w:val="00F462B0"/>
    <w:rsid w:val="00F54AA0"/>
    <w:rsid w:val="00F70734"/>
    <w:rsid w:val="00F76840"/>
    <w:rsid w:val="00F901DF"/>
    <w:rsid w:val="00FA6B1F"/>
    <w:rsid w:val="00FB758E"/>
    <w:rsid w:val="00FC2885"/>
    <w:rsid w:val="00FC3E81"/>
    <w:rsid w:val="00FC5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017E9F5-ACC9-4260-8180-1E9CEEDD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E57"/>
    <w:pPr>
      <w:jc w:val="both"/>
    </w:pPr>
    <w:rPr>
      <w:szCs w:val="20"/>
    </w:rPr>
  </w:style>
  <w:style w:type="paragraph" w:styleId="Heading1">
    <w:name w:val="heading 1"/>
    <w:basedOn w:val="Normal"/>
    <w:next w:val="Normal"/>
    <w:link w:val="Heading1Char"/>
    <w:uiPriority w:val="9"/>
    <w:qFormat/>
    <w:rsid w:val="00CF5994"/>
    <w:pPr>
      <w:keepNext/>
      <w:keepLines/>
      <w:numPr>
        <w:numId w:val="17"/>
      </w:numPr>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994"/>
    <w:pPr>
      <w:keepNext/>
      <w:keepLines/>
      <w:numPr>
        <w:ilvl w:val="1"/>
        <w:numId w:val="17"/>
      </w:numPr>
      <w:spacing w:before="200" w:after="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semiHidden/>
    <w:unhideWhenUsed/>
    <w:qFormat/>
    <w:rsid w:val="00C251D6"/>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51D6"/>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51D6"/>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51D6"/>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51D6"/>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51D6"/>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251D6"/>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35"/>
    <w:pPr>
      <w:ind w:left="720"/>
      <w:contextualSpacing/>
    </w:pPr>
  </w:style>
  <w:style w:type="character" w:styleId="CommentReference">
    <w:name w:val="annotation reference"/>
    <w:basedOn w:val="DefaultParagraphFont"/>
    <w:uiPriority w:val="99"/>
    <w:semiHidden/>
    <w:unhideWhenUsed/>
    <w:rsid w:val="006D48A4"/>
    <w:rPr>
      <w:sz w:val="16"/>
      <w:szCs w:val="16"/>
    </w:rPr>
  </w:style>
  <w:style w:type="paragraph" w:styleId="CommentText">
    <w:name w:val="annotation text"/>
    <w:basedOn w:val="Normal"/>
    <w:link w:val="CommentTextChar"/>
    <w:uiPriority w:val="99"/>
    <w:unhideWhenUsed/>
    <w:rsid w:val="006D48A4"/>
    <w:pPr>
      <w:spacing w:line="240" w:lineRule="auto"/>
    </w:pPr>
    <w:rPr>
      <w:sz w:val="20"/>
    </w:rPr>
  </w:style>
  <w:style w:type="character" w:customStyle="1" w:styleId="CommentTextChar">
    <w:name w:val="Comment Text Char"/>
    <w:basedOn w:val="DefaultParagraphFont"/>
    <w:link w:val="CommentText"/>
    <w:uiPriority w:val="99"/>
    <w:rsid w:val="006D48A4"/>
    <w:rPr>
      <w:sz w:val="20"/>
      <w:szCs w:val="20"/>
    </w:rPr>
  </w:style>
  <w:style w:type="paragraph" w:styleId="CommentSubject">
    <w:name w:val="annotation subject"/>
    <w:basedOn w:val="CommentText"/>
    <w:next w:val="CommentText"/>
    <w:link w:val="CommentSubjectChar"/>
    <w:uiPriority w:val="99"/>
    <w:semiHidden/>
    <w:unhideWhenUsed/>
    <w:rsid w:val="006D48A4"/>
    <w:rPr>
      <w:b/>
      <w:bCs/>
    </w:rPr>
  </w:style>
  <w:style w:type="character" w:customStyle="1" w:styleId="CommentSubjectChar">
    <w:name w:val="Comment Subject Char"/>
    <w:basedOn w:val="CommentTextChar"/>
    <w:link w:val="CommentSubject"/>
    <w:uiPriority w:val="99"/>
    <w:semiHidden/>
    <w:rsid w:val="006D48A4"/>
    <w:rPr>
      <w:b/>
      <w:bCs/>
      <w:sz w:val="20"/>
      <w:szCs w:val="20"/>
    </w:rPr>
  </w:style>
  <w:style w:type="paragraph" w:styleId="BalloonText">
    <w:name w:val="Balloon Text"/>
    <w:basedOn w:val="Normal"/>
    <w:link w:val="BalloonTextChar"/>
    <w:uiPriority w:val="99"/>
    <w:semiHidden/>
    <w:unhideWhenUsed/>
    <w:rsid w:val="006D4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8A4"/>
    <w:rPr>
      <w:rFonts w:ascii="Tahoma" w:hAnsi="Tahoma" w:cs="Tahoma"/>
      <w:sz w:val="16"/>
      <w:szCs w:val="16"/>
    </w:rPr>
  </w:style>
  <w:style w:type="table" w:styleId="TableGrid">
    <w:name w:val="Table Grid"/>
    <w:basedOn w:val="TableNormal"/>
    <w:uiPriority w:val="59"/>
    <w:rsid w:val="0059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5994"/>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5994"/>
    <w:rPr>
      <w:rFonts w:eastAsiaTheme="majorEastAsia" w:cstheme="majorBidi"/>
      <w:b/>
      <w:bCs/>
      <w:color w:val="4F81BD" w:themeColor="accent1"/>
      <w:sz w:val="24"/>
      <w:szCs w:val="26"/>
    </w:rPr>
  </w:style>
  <w:style w:type="character" w:customStyle="1" w:styleId="Heading3Char">
    <w:name w:val="Heading 3 Char"/>
    <w:basedOn w:val="DefaultParagraphFont"/>
    <w:link w:val="Heading3"/>
    <w:uiPriority w:val="9"/>
    <w:semiHidden/>
    <w:rsid w:val="00C251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251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251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251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251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51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51D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C7E57"/>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5C7E57"/>
    <w:rPr>
      <w:rFonts w:eastAsiaTheme="majorEastAsia" w:cstheme="majorBidi"/>
      <w:b/>
      <w:color w:val="17365D" w:themeColor="text2" w:themeShade="BF"/>
      <w:spacing w:val="5"/>
      <w:kern w:val="28"/>
      <w:sz w:val="28"/>
      <w:szCs w:val="52"/>
    </w:rPr>
  </w:style>
  <w:style w:type="paragraph" w:styleId="FootnoteText">
    <w:name w:val="footnote text"/>
    <w:basedOn w:val="Normal"/>
    <w:link w:val="FootnoteTextChar"/>
    <w:uiPriority w:val="99"/>
    <w:unhideWhenUsed/>
    <w:rsid w:val="00C251D6"/>
    <w:pPr>
      <w:spacing w:after="0" w:line="240" w:lineRule="auto"/>
    </w:pPr>
    <w:rPr>
      <w:sz w:val="20"/>
    </w:rPr>
  </w:style>
  <w:style w:type="character" w:customStyle="1" w:styleId="FootnoteTextChar">
    <w:name w:val="Footnote Text Char"/>
    <w:basedOn w:val="DefaultParagraphFont"/>
    <w:link w:val="FootnoteText"/>
    <w:uiPriority w:val="99"/>
    <w:rsid w:val="00C251D6"/>
    <w:rPr>
      <w:sz w:val="20"/>
      <w:szCs w:val="20"/>
    </w:rPr>
  </w:style>
  <w:style w:type="character" w:styleId="FootnoteReference">
    <w:name w:val="footnote reference"/>
    <w:basedOn w:val="DefaultParagraphFont"/>
    <w:uiPriority w:val="99"/>
    <w:semiHidden/>
    <w:unhideWhenUsed/>
    <w:rsid w:val="00C251D6"/>
    <w:rPr>
      <w:vertAlign w:val="superscript"/>
    </w:rPr>
  </w:style>
  <w:style w:type="character" w:styleId="Hyperlink">
    <w:name w:val="Hyperlink"/>
    <w:basedOn w:val="DefaultParagraphFont"/>
    <w:uiPriority w:val="99"/>
    <w:unhideWhenUsed/>
    <w:rsid w:val="00D9359C"/>
    <w:rPr>
      <w:color w:val="0000FF" w:themeColor="hyperlink"/>
      <w:u w:val="single"/>
    </w:rPr>
  </w:style>
  <w:style w:type="character" w:styleId="FollowedHyperlink">
    <w:name w:val="FollowedHyperlink"/>
    <w:basedOn w:val="DefaultParagraphFont"/>
    <w:uiPriority w:val="99"/>
    <w:semiHidden/>
    <w:unhideWhenUsed/>
    <w:rsid w:val="00D9359C"/>
    <w:rPr>
      <w:color w:val="800080" w:themeColor="followedHyperlink"/>
      <w:u w:val="single"/>
    </w:rPr>
  </w:style>
  <w:style w:type="paragraph" w:styleId="Header">
    <w:name w:val="header"/>
    <w:basedOn w:val="Normal"/>
    <w:link w:val="HeaderChar"/>
    <w:uiPriority w:val="99"/>
    <w:unhideWhenUsed/>
    <w:rsid w:val="00B94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0D1"/>
    <w:rPr>
      <w:szCs w:val="20"/>
    </w:rPr>
  </w:style>
  <w:style w:type="paragraph" w:styleId="Footer">
    <w:name w:val="footer"/>
    <w:basedOn w:val="Normal"/>
    <w:link w:val="FooterChar"/>
    <w:uiPriority w:val="99"/>
    <w:unhideWhenUsed/>
    <w:rsid w:val="00B94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0D1"/>
    <w:rPr>
      <w:szCs w:val="20"/>
    </w:rPr>
  </w:style>
  <w:style w:type="paragraph" w:styleId="Revision">
    <w:name w:val="Revision"/>
    <w:hidden/>
    <w:uiPriority w:val="99"/>
    <w:semiHidden/>
    <w:rsid w:val="00BC3676"/>
    <w:pPr>
      <w:spacing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7D4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275A-B1AB-4D52-A69B-6A84A5DC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John</dc:creator>
  <cp:lastModifiedBy>Thresh Georgia</cp:lastModifiedBy>
  <cp:revision>3</cp:revision>
  <cp:lastPrinted>2016-01-12T14:43:00Z</cp:lastPrinted>
  <dcterms:created xsi:type="dcterms:W3CDTF">2017-02-15T15:10:00Z</dcterms:created>
  <dcterms:modified xsi:type="dcterms:W3CDTF">2017-02-15T15:10:00Z</dcterms:modified>
</cp:coreProperties>
</file>