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FF4" w:rsidRPr="00A03FF4" w:rsidRDefault="00A03FF4" w:rsidP="00A03FF4">
      <w:pPr>
        <w:spacing w:after="225" w:line="288" w:lineRule="atLeast"/>
        <w:outlineLvl w:val="0"/>
        <w:rPr>
          <w:rFonts w:ascii="Verdana" w:eastAsia="Times New Roman" w:hAnsi="Verdana" w:cs="Times New Roman"/>
          <w:color w:val="003366"/>
          <w:kern w:val="36"/>
          <w:sz w:val="38"/>
          <w:szCs w:val="38"/>
          <w:lang w:eastAsia="en-GB"/>
        </w:rPr>
      </w:pPr>
      <w:bookmarkStart w:id="0" w:name="_GoBack"/>
      <w:bookmarkEnd w:id="0"/>
      <w:r w:rsidRPr="00A03FF4">
        <w:rPr>
          <w:rFonts w:ascii="Verdana" w:eastAsia="Times New Roman" w:hAnsi="Verdana" w:cs="Times New Roman"/>
          <w:color w:val="003366"/>
          <w:kern w:val="36"/>
          <w:sz w:val="38"/>
          <w:szCs w:val="38"/>
          <w:lang w:eastAsia="en-GB"/>
        </w:rPr>
        <w:t xml:space="preserve">Doctor of </w:t>
      </w:r>
      <w:proofErr w:type="spellStart"/>
      <w:r>
        <w:rPr>
          <w:rFonts w:ascii="Verdana" w:eastAsia="Times New Roman" w:hAnsi="Verdana" w:cs="Times New Roman"/>
          <w:color w:val="003366"/>
          <w:kern w:val="36"/>
          <w:sz w:val="38"/>
          <w:szCs w:val="38"/>
          <w:lang w:eastAsia="en-GB"/>
        </w:rPr>
        <w:t>Agrifood</w:t>
      </w:r>
      <w:proofErr w:type="spellEnd"/>
      <w:r w:rsidRPr="00A03FF4">
        <w:rPr>
          <w:rFonts w:ascii="Verdana" w:eastAsia="Times New Roman" w:hAnsi="Verdana" w:cs="Times New Roman"/>
          <w:color w:val="003366"/>
          <w:kern w:val="36"/>
          <w:sz w:val="38"/>
          <w:szCs w:val="38"/>
          <w:lang w:eastAsia="en-GB"/>
        </w:rPr>
        <w:t xml:space="preserve"> (</w:t>
      </w:r>
      <w:proofErr w:type="spellStart"/>
      <w:r w:rsidRPr="00A03FF4">
        <w:rPr>
          <w:rFonts w:ascii="Verdana" w:eastAsia="Times New Roman" w:hAnsi="Verdana" w:cs="Times New Roman"/>
          <w:color w:val="003366"/>
          <w:kern w:val="36"/>
          <w:sz w:val="38"/>
          <w:szCs w:val="38"/>
          <w:lang w:eastAsia="en-GB"/>
        </w:rPr>
        <w:t>D</w:t>
      </w:r>
      <w:r>
        <w:rPr>
          <w:rFonts w:ascii="Verdana" w:eastAsia="Times New Roman" w:hAnsi="Verdana" w:cs="Times New Roman"/>
          <w:color w:val="003366"/>
          <w:kern w:val="36"/>
          <w:sz w:val="38"/>
          <w:szCs w:val="38"/>
          <w:lang w:eastAsia="en-GB"/>
        </w:rPr>
        <w:t>Agrifood</w:t>
      </w:r>
      <w:proofErr w:type="spellEnd"/>
      <w:r w:rsidRPr="00A03FF4">
        <w:rPr>
          <w:rFonts w:ascii="Verdana" w:eastAsia="Times New Roman" w:hAnsi="Verdana" w:cs="Times New Roman"/>
          <w:color w:val="003366"/>
          <w:kern w:val="36"/>
          <w:sz w:val="38"/>
          <w:szCs w:val="38"/>
          <w:lang w:eastAsia="en-GB"/>
        </w:rPr>
        <w:t>) Regulations</w:t>
      </w:r>
    </w:p>
    <w:p w:rsidR="00A03FF4" w:rsidRPr="00A03FF4" w:rsidRDefault="00A03FF4" w:rsidP="00A03FF4">
      <w:pPr>
        <w:spacing w:after="300" w:line="240" w:lineRule="auto"/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</w:pPr>
      <w:r w:rsidRPr="00A03FF4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 </w:t>
      </w:r>
    </w:p>
    <w:p w:rsidR="00A03FF4" w:rsidRPr="00A03FF4" w:rsidRDefault="00A03FF4" w:rsidP="00A03FF4">
      <w:pPr>
        <w:spacing w:after="225" w:line="288" w:lineRule="atLeast"/>
        <w:outlineLvl w:val="1"/>
        <w:rPr>
          <w:rFonts w:ascii="Verdana" w:eastAsia="Times New Roman" w:hAnsi="Verdana" w:cs="Times New Roman"/>
          <w:color w:val="003366"/>
          <w:sz w:val="31"/>
          <w:szCs w:val="31"/>
          <w:lang w:eastAsia="en-GB"/>
        </w:rPr>
      </w:pPr>
      <w:r w:rsidRPr="00A03FF4">
        <w:rPr>
          <w:rFonts w:ascii="Verdana" w:eastAsia="Times New Roman" w:hAnsi="Verdana" w:cs="Times New Roman"/>
          <w:color w:val="003366"/>
          <w:sz w:val="31"/>
          <w:szCs w:val="31"/>
          <w:lang w:eastAsia="en-GB"/>
        </w:rPr>
        <w:t xml:space="preserve">Regulations for the Doctor of </w:t>
      </w:r>
      <w:proofErr w:type="spellStart"/>
      <w:r>
        <w:rPr>
          <w:rFonts w:ascii="Verdana" w:eastAsia="Times New Roman" w:hAnsi="Verdana" w:cs="Times New Roman"/>
          <w:color w:val="003366"/>
          <w:sz w:val="31"/>
          <w:szCs w:val="31"/>
          <w:lang w:eastAsia="en-GB"/>
        </w:rPr>
        <w:t>Agrifood</w:t>
      </w:r>
      <w:proofErr w:type="spellEnd"/>
      <w:r w:rsidRPr="00A03FF4">
        <w:rPr>
          <w:rFonts w:ascii="Verdana" w:eastAsia="Times New Roman" w:hAnsi="Verdana" w:cs="Times New Roman"/>
          <w:color w:val="003366"/>
          <w:sz w:val="31"/>
          <w:szCs w:val="31"/>
          <w:lang w:eastAsia="en-GB"/>
        </w:rPr>
        <w:t xml:space="preserve"> (</w:t>
      </w:r>
      <w:proofErr w:type="spellStart"/>
      <w:r w:rsidRPr="00A03FF4">
        <w:rPr>
          <w:rFonts w:ascii="Verdana" w:eastAsia="Times New Roman" w:hAnsi="Verdana" w:cs="Times New Roman"/>
          <w:color w:val="003366"/>
          <w:sz w:val="31"/>
          <w:szCs w:val="31"/>
          <w:lang w:eastAsia="en-GB"/>
        </w:rPr>
        <w:t>D</w:t>
      </w:r>
      <w:r>
        <w:rPr>
          <w:rFonts w:ascii="Verdana" w:eastAsia="Times New Roman" w:hAnsi="Verdana" w:cs="Times New Roman"/>
          <w:color w:val="003366"/>
          <w:sz w:val="31"/>
          <w:szCs w:val="31"/>
          <w:lang w:eastAsia="en-GB"/>
        </w:rPr>
        <w:t>Agrifood</w:t>
      </w:r>
      <w:proofErr w:type="spellEnd"/>
      <w:r w:rsidRPr="00A03FF4">
        <w:rPr>
          <w:rFonts w:ascii="Verdana" w:eastAsia="Times New Roman" w:hAnsi="Verdana" w:cs="Times New Roman"/>
          <w:color w:val="003366"/>
          <w:sz w:val="31"/>
          <w:szCs w:val="31"/>
          <w:lang w:eastAsia="en-GB"/>
        </w:rPr>
        <w:t>)</w:t>
      </w:r>
    </w:p>
    <w:p w:rsidR="00A03FF4" w:rsidRPr="00A03FF4" w:rsidRDefault="00A03FF4" w:rsidP="00A03FF4">
      <w:pPr>
        <w:spacing w:after="300" w:line="240" w:lineRule="auto"/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</w:pPr>
      <w:r w:rsidRPr="00A03FF4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The regulations for the </w:t>
      </w:r>
      <w:proofErr w:type="spellStart"/>
      <w:r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DAgrifood</w:t>
      </w:r>
      <w:proofErr w:type="spellEnd"/>
      <w:r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</w:t>
      </w:r>
      <w:r w:rsidRPr="00A03FF4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are those which govern the PhD except where the following modify or supplement them.</w:t>
      </w:r>
    </w:p>
    <w:p w:rsidR="00A03FF4" w:rsidRPr="00A03FF4" w:rsidRDefault="00A03FF4" w:rsidP="00A03FF4">
      <w:pPr>
        <w:spacing w:after="225" w:line="288" w:lineRule="atLeast"/>
        <w:outlineLvl w:val="2"/>
        <w:rPr>
          <w:rFonts w:ascii="Verdana" w:eastAsia="Times New Roman" w:hAnsi="Verdana" w:cs="Times New Roman"/>
          <w:color w:val="003366"/>
          <w:sz w:val="29"/>
          <w:szCs w:val="29"/>
          <w:lang w:eastAsia="en-GB"/>
        </w:rPr>
      </w:pPr>
      <w:r w:rsidRPr="00A03FF4">
        <w:rPr>
          <w:rFonts w:ascii="Verdana" w:eastAsia="Times New Roman" w:hAnsi="Verdana" w:cs="Times New Roman"/>
          <w:color w:val="003366"/>
          <w:sz w:val="29"/>
          <w:szCs w:val="29"/>
          <w:lang w:eastAsia="en-GB"/>
        </w:rPr>
        <w:t>Admission Requirements</w:t>
      </w:r>
    </w:p>
    <w:p w:rsidR="00A03FF4" w:rsidRPr="00A03FF4" w:rsidRDefault="00A03FF4" w:rsidP="00A03FF4">
      <w:pPr>
        <w:spacing w:after="300" w:line="240" w:lineRule="auto"/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</w:pPr>
      <w:r w:rsidRPr="00A03FF4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1. A candidate for the Doctor of </w:t>
      </w:r>
      <w:proofErr w:type="spellStart"/>
      <w:r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Agrifood</w:t>
      </w:r>
      <w:proofErr w:type="spellEnd"/>
      <w:r w:rsidRPr="00A03FF4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must (a) be a graduate of this or any other approved university holding either a bachelor's degree with first or upper secon</w:t>
      </w:r>
      <w:r w:rsidR="00542E6A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d class honours (or equivalent)</w:t>
      </w:r>
      <w:r w:rsidRPr="00A03FF4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</w:t>
      </w:r>
      <w:r w:rsidR="00542E6A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in agriculture, food or other relevant biological sciences area; </w:t>
      </w:r>
      <w:r w:rsidRPr="00A03FF4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or (b) such other qualifications as may be deemed by the University to be the equivalent of any qualifications referred to in (a) above. Candidates will normally be expected to have a minimum of </w:t>
      </w:r>
      <w:r w:rsidR="00542E6A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one</w:t>
      </w:r>
      <w:r w:rsidRPr="00A03FF4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years' relevant post-</w:t>
      </w:r>
      <w:r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gradu</w:t>
      </w:r>
      <w:r w:rsidRPr="00A03FF4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at</w:t>
      </w:r>
      <w:r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e</w:t>
      </w:r>
      <w:r w:rsidRPr="00A03FF4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experience</w:t>
      </w:r>
      <w:r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in the </w:t>
      </w:r>
      <w:proofErr w:type="spellStart"/>
      <w:r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Agrifood</w:t>
      </w:r>
      <w:proofErr w:type="spellEnd"/>
      <w:r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industry</w:t>
      </w:r>
      <w:r w:rsidRPr="00A03FF4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.</w:t>
      </w:r>
    </w:p>
    <w:p w:rsidR="00A03FF4" w:rsidRPr="00A03FF4" w:rsidRDefault="00A03FF4" w:rsidP="00A03FF4">
      <w:pPr>
        <w:spacing w:after="225" w:line="288" w:lineRule="atLeast"/>
        <w:outlineLvl w:val="2"/>
        <w:rPr>
          <w:rFonts w:ascii="Verdana" w:eastAsia="Times New Roman" w:hAnsi="Verdana" w:cs="Times New Roman"/>
          <w:color w:val="003366"/>
          <w:sz w:val="29"/>
          <w:szCs w:val="29"/>
          <w:lang w:eastAsia="en-GB"/>
        </w:rPr>
      </w:pPr>
      <w:r w:rsidRPr="00A03FF4">
        <w:rPr>
          <w:rFonts w:ascii="Verdana" w:eastAsia="Times New Roman" w:hAnsi="Verdana" w:cs="Times New Roman"/>
          <w:color w:val="003366"/>
          <w:sz w:val="29"/>
          <w:szCs w:val="29"/>
          <w:lang w:eastAsia="en-GB"/>
        </w:rPr>
        <w:t>Course of Study</w:t>
      </w:r>
    </w:p>
    <w:p w:rsidR="00A03FF4" w:rsidRPr="00A03FF4" w:rsidRDefault="00A03FF4" w:rsidP="00A03FF4">
      <w:pPr>
        <w:spacing w:after="300" w:line="240" w:lineRule="auto"/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2</w:t>
      </w:r>
      <w:r w:rsidRPr="00A03FF4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. A candidate for the degree of </w:t>
      </w:r>
      <w:proofErr w:type="spellStart"/>
      <w:r w:rsidRPr="00A03FF4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D</w:t>
      </w:r>
      <w:r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Agrifood</w:t>
      </w:r>
      <w:proofErr w:type="spellEnd"/>
      <w:r w:rsidRPr="00A03FF4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must have pursued at this University a full or part-time course of study comprising a taught component and a portfolio of integrated research projects with a common theme carried out in industry and supervised by academic staff of this University. Completion of the </w:t>
      </w:r>
      <w:proofErr w:type="spellStart"/>
      <w:r w:rsidRPr="00A03FF4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D</w:t>
      </w:r>
      <w:r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Agrifood</w:t>
      </w:r>
      <w:proofErr w:type="spellEnd"/>
      <w:r w:rsidRPr="00A03FF4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programme requires a minimum of two and a maximum of four years of full-time supervised study, and a minimum of four and a maximum of eight years of part-time supervised study.</w:t>
      </w:r>
    </w:p>
    <w:p w:rsidR="00A03FF4" w:rsidRPr="00A03FF4" w:rsidRDefault="00A03FF4" w:rsidP="00A03FF4">
      <w:pPr>
        <w:spacing w:after="225" w:line="288" w:lineRule="atLeast"/>
        <w:outlineLvl w:val="2"/>
        <w:rPr>
          <w:rFonts w:ascii="Verdana" w:eastAsia="Times New Roman" w:hAnsi="Verdana" w:cs="Times New Roman"/>
          <w:color w:val="003366"/>
          <w:sz w:val="29"/>
          <w:szCs w:val="29"/>
          <w:lang w:eastAsia="en-GB"/>
        </w:rPr>
      </w:pPr>
      <w:r w:rsidRPr="00A03FF4">
        <w:rPr>
          <w:rFonts w:ascii="Verdana" w:eastAsia="Times New Roman" w:hAnsi="Verdana" w:cs="Times New Roman"/>
          <w:color w:val="003366"/>
          <w:sz w:val="29"/>
          <w:szCs w:val="29"/>
          <w:lang w:eastAsia="en-GB"/>
        </w:rPr>
        <w:t>Taught Component</w:t>
      </w:r>
    </w:p>
    <w:p w:rsidR="00A03FF4" w:rsidRPr="004D40F3" w:rsidRDefault="00A03FF4" w:rsidP="00A03FF4">
      <w:pPr>
        <w:spacing w:after="300" w:line="240" w:lineRule="auto"/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</w:pPr>
      <w:r w:rsidRPr="004D40F3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3. The taught component requires the successful completion of 120 credits of modules normally during the first 3 semesters (18 months) of the course </w:t>
      </w:r>
      <w:r w:rsidR="00743755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or</w:t>
      </w:r>
      <w:r w:rsidRPr="004D40F3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first 6 semesters (3 years) of the course for part-time candidates. </w:t>
      </w:r>
      <w:r w:rsidR="006E069A" w:rsidRPr="004D40F3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The modules to be taken are </w:t>
      </w:r>
      <w:r w:rsidR="006E069A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those available from the </w:t>
      </w:r>
      <w:proofErr w:type="spellStart"/>
      <w:r w:rsidR="006E069A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Agrifood</w:t>
      </w:r>
      <w:proofErr w:type="spellEnd"/>
      <w:r w:rsidR="006E069A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Advanced Training Partnership (AATP) or </w:t>
      </w:r>
      <w:proofErr w:type="spellStart"/>
      <w:r w:rsidR="006E069A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Agrifood</w:t>
      </w:r>
      <w:proofErr w:type="spellEnd"/>
      <w:r w:rsidR="006E069A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Training Partnership (AFTP), with a minimum of </w:t>
      </w:r>
      <w:r w:rsidR="006E069A" w:rsidRPr="006E069A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4</w:t>
      </w:r>
      <w:r w:rsidRPr="006E069A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0 credits </w:t>
      </w:r>
      <w:r w:rsidR="006E069A" w:rsidRPr="006E069A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required to be taken at the University of Nottingham, including</w:t>
      </w:r>
      <w:r w:rsidRPr="006E069A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</w:t>
      </w:r>
      <w:r w:rsidR="006E069A" w:rsidRPr="006E069A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the compulsory 1</w:t>
      </w:r>
      <w:r w:rsidRPr="006E069A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0 credit</w:t>
      </w:r>
      <w:r w:rsidR="006E069A" w:rsidRPr="006E069A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</w:t>
      </w:r>
      <w:r w:rsidRPr="006E069A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s</w:t>
      </w:r>
      <w:r w:rsidR="006E069A" w:rsidRPr="006E069A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tatistics module</w:t>
      </w:r>
      <w:r w:rsidRPr="006E069A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.</w:t>
      </w:r>
      <w:r w:rsidRPr="004D40F3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</w:t>
      </w:r>
    </w:p>
    <w:p w:rsidR="00A03FF4" w:rsidRDefault="00A03FF4" w:rsidP="00A03FF4">
      <w:pPr>
        <w:spacing w:after="0" w:line="240" w:lineRule="auto"/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</w:pPr>
      <w:r w:rsidRPr="004D40F3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4. The </w:t>
      </w:r>
      <w:hyperlink r:id="rId4" w:tooltip="Taught Masters Degrees, Postgraduate Diploma and Postgraduate Certificate courses" w:history="1">
        <w:r w:rsidRPr="004D40F3">
          <w:rPr>
            <w:rFonts w:ascii="Verdana" w:eastAsia="Times New Roman" w:hAnsi="Verdana" w:cs="Times New Roman"/>
            <w:color w:val="535353"/>
            <w:sz w:val="18"/>
            <w:szCs w:val="18"/>
            <w:u w:val="single"/>
            <w:lang w:eastAsia="en-GB"/>
          </w:rPr>
          <w:t>University's Regulations for Taught Master's Degrees, Postgraduate Diploma and Postgraduate Certificate courses</w:t>
        </w:r>
      </w:hyperlink>
      <w:r w:rsidRPr="004D40F3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 shall apply with regard to satisfactory progression on the taught element of the degree.</w:t>
      </w:r>
    </w:p>
    <w:p w:rsidR="00A03FF4" w:rsidRPr="00A03FF4" w:rsidRDefault="00A03FF4" w:rsidP="00A03FF4">
      <w:pPr>
        <w:spacing w:after="0" w:line="240" w:lineRule="auto"/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</w:pPr>
    </w:p>
    <w:p w:rsidR="00A03FF4" w:rsidRPr="00A03FF4" w:rsidRDefault="00A03FF4" w:rsidP="00A03FF4">
      <w:pPr>
        <w:spacing w:after="225" w:line="288" w:lineRule="atLeast"/>
        <w:outlineLvl w:val="2"/>
        <w:rPr>
          <w:rFonts w:ascii="Verdana" w:eastAsia="Times New Roman" w:hAnsi="Verdana" w:cs="Times New Roman"/>
          <w:color w:val="003366"/>
          <w:sz w:val="29"/>
          <w:szCs w:val="29"/>
          <w:lang w:eastAsia="en-GB"/>
        </w:rPr>
      </w:pPr>
      <w:r w:rsidRPr="00A03FF4">
        <w:rPr>
          <w:rFonts w:ascii="Verdana" w:eastAsia="Times New Roman" w:hAnsi="Verdana" w:cs="Times New Roman"/>
          <w:color w:val="003366"/>
          <w:sz w:val="29"/>
          <w:szCs w:val="29"/>
          <w:lang w:eastAsia="en-GB"/>
        </w:rPr>
        <w:t>Progression</w:t>
      </w:r>
    </w:p>
    <w:p w:rsidR="00A03FF4" w:rsidRPr="00A03FF4" w:rsidRDefault="00A03FF4" w:rsidP="00A03FF4">
      <w:pPr>
        <w:spacing w:after="300" w:line="240" w:lineRule="auto"/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5</w:t>
      </w:r>
      <w:r w:rsidRPr="00A03FF4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. </w:t>
      </w:r>
      <w:r w:rsidR="006E069A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Before starting the Research project, e</w:t>
      </w:r>
      <w:r w:rsidRPr="00A03FF4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ach </w:t>
      </w:r>
      <w:proofErr w:type="spellStart"/>
      <w:r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DAgrifood</w:t>
      </w:r>
      <w:proofErr w:type="spellEnd"/>
      <w:r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candidate</w:t>
      </w:r>
      <w:r w:rsidRPr="00A03FF4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will </w:t>
      </w:r>
      <w:r w:rsidR="006E069A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b</w:t>
      </w:r>
      <w:r w:rsidRPr="00A03FF4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e</w:t>
      </w:r>
      <w:r w:rsidR="006E069A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allocated</w:t>
      </w:r>
      <w:r w:rsidRPr="00A03FF4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at least </w:t>
      </w:r>
      <w:r w:rsidR="00743755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one</w:t>
      </w:r>
      <w:r w:rsidRPr="00A03FF4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academic supervisor and one industrial supervisor</w:t>
      </w:r>
      <w:r w:rsidR="006E069A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. They will be expected to complete an assessed critical literature review </w:t>
      </w:r>
      <w:r w:rsidR="006E069A" w:rsidRPr="006E069A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of current research of approximately 10,000 words</w:t>
      </w:r>
      <w:r w:rsidR="006E069A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and a</w:t>
      </w:r>
      <w:r w:rsidR="006E069A" w:rsidRPr="006E069A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research plan, of approximately 6,000 words, that will include a clear statement of the problem to be investigated and the rationale behind the design of the study</w:t>
      </w:r>
      <w:r w:rsidR="006E069A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, as well as</w:t>
      </w:r>
      <w:r w:rsidR="006E069A" w:rsidRPr="006E069A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an analysis of resource implications. The literature review and research plan will be developed with guidance from </w:t>
      </w:r>
      <w:r w:rsidR="006E069A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the supervisors</w:t>
      </w:r>
      <w:r w:rsidRPr="00A03FF4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.</w:t>
      </w:r>
      <w:r w:rsidR="006E069A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Progression to the Research project is dependent upon achieving a pass mark (&gt;50%) </w:t>
      </w:r>
      <w:r w:rsidR="0086170B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for this assessment.</w:t>
      </w:r>
    </w:p>
    <w:p w:rsidR="00A03FF4" w:rsidRPr="00A03FF4" w:rsidRDefault="00A03FF4" w:rsidP="00A03FF4">
      <w:pPr>
        <w:spacing w:after="300" w:line="240" w:lineRule="auto"/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6</w:t>
      </w:r>
      <w:r w:rsidRPr="00A03FF4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. The University's policies with regard to supervision and annual review of progress shall apply, together with any further requirements specified by the centre/programme.</w:t>
      </w:r>
    </w:p>
    <w:p w:rsidR="00A03FF4" w:rsidRPr="004D40F3" w:rsidRDefault="00A03FF4" w:rsidP="00A03FF4">
      <w:pPr>
        <w:spacing w:after="225" w:line="288" w:lineRule="atLeast"/>
        <w:outlineLvl w:val="2"/>
        <w:rPr>
          <w:rFonts w:ascii="Verdana" w:eastAsia="Times New Roman" w:hAnsi="Verdana" w:cs="Times New Roman"/>
          <w:color w:val="003366"/>
          <w:sz w:val="29"/>
          <w:szCs w:val="29"/>
          <w:lang w:eastAsia="en-GB"/>
        </w:rPr>
      </w:pPr>
      <w:r w:rsidRPr="004D40F3">
        <w:rPr>
          <w:rFonts w:ascii="Verdana" w:eastAsia="Times New Roman" w:hAnsi="Verdana" w:cs="Times New Roman"/>
          <w:color w:val="003366"/>
          <w:sz w:val="29"/>
          <w:szCs w:val="29"/>
          <w:lang w:eastAsia="en-GB"/>
        </w:rPr>
        <w:t>Submission of Thesis and Examination</w:t>
      </w:r>
    </w:p>
    <w:p w:rsidR="00A03FF4" w:rsidRDefault="00A03FF4" w:rsidP="00A03FF4">
      <w:pPr>
        <w:spacing w:after="300" w:line="240" w:lineRule="auto"/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lastRenderedPageBreak/>
        <w:t>7</w:t>
      </w:r>
      <w:r w:rsidRPr="004D40F3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. The candidate shall submit a thesis </w:t>
      </w:r>
      <w:r w:rsidRPr="00A03FF4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for examination in accordance with the requirements of the centre/programme.</w:t>
      </w:r>
      <w:r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The thesis may be in the form of (</w:t>
      </w:r>
      <w:proofErr w:type="spellStart"/>
      <w:r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i</w:t>
      </w:r>
      <w:proofErr w:type="spellEnd"/>
      <w:r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) </w:t>
      </w:r>
      <w:r w:rsidR="00541F03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the traditional PhD thesis</w:t>
      </w:r>
      <w:r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</w:t>
      </w:r>
      <w:r w:rsidR="00541F03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or (ii</w:t>
      </w:r>
      <w:r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)</w:t>
      </w:r>
      <w:r w:rsidR="00541F03" w:rsidRPr="00541F03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</w:t>
      </w:r>
      <w:r w:rsidR="00541F03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published works (</w:t>
      </w:r>
      <w:r w:rsidR="00541F03" w:rsidRPr="00541F03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a format suitable for submission for publication in a peer reviewed journal</w:t>
      </w:r>
      <w:r w:rsidR="00541F03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)</w:t>
      </w:r>
      <w:r w:rsidR="00541F03" w:rsidRPr="00541F03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</w:t>
      </w:r>
      <w:r w:rsidR="00541F03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with appropriate additional integration and explanation (see </w:t>
      </w:r>
      <w:hyperlink r:id="rId5" w:history="1">
        <w:r w:rsidR="00541F03" w:rsidRPr="00541F03">
          <w:rPr>
            <w:rStyle w:val="Hyperlink"/>
            <w:rFonts w:ascii="Verdana" w:eastAsia="Times New Roman" w:hAnsi="Verdana" w:cs="Times New Roman"/>
            <w:sz w:val="18"/>
            <w:szCs w:val="18"/>
            <w:lang w:eastAsia="en-GB"/>
          </w:rPr>
          <w:t>PhD and MPhil Regulations</w:t>
        </w:r>
      </w:hyperlink>
      <w:r w:rsidR="00541F03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).</w:t>
      </w:r>
    </w:p>
    <w:p w:rsidR="00743755" w:rsidRDefault="00743755" w:rsidP="00A03FF4">
      <w:pPr>
        <w:spacing w:after="300" w:line="240" w:lineRule="auto"/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8</w:t>
      </w:r>
      <w:r w:rsidRPr="00743755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. Candidates shall be examined by one Internal Examiner, one External academic Examiner and normally one External Examiner who is an industrialist</w:t>
      </w:r>
      <w:r w:rsidR="002321BC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, although the latter</w:t>
      </w:r>
      <w:r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may be dependent upon any confidentiality/ proprietary information issues</w:t>
      </w:r>
      <w:r w:rsidRPr="00743755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.</w:t>
      </w:r>
    </w:p>
    <w:p w:rsidR="00A03FF4" w:rsidRPr="004D40F3" w:rsidRDefault="00A03FF4" w:rsidP="00A03FF4">
      <w:pPr>
        <w:spacing w:after="300" w:line="240" w:lineRule="auto"/>
        <w:rPr>
          <w:rFonts w:ascii="Verdana" w:eastAsia="Times New Roman" w:hAnsi="Verdana" w:cs="Times New Roman"/>
          <w:color w:val="003366"/>
          <w:sz w:val="29"/>
          <w:szCs w:val="29"/>
          <w:lang w:eastAsia="en-GB"/>
        </w:rPr>
      </w:pPr>
      <w:r w:rsidRPr="004D40F3">
        <w:rPr>
          <w:rFonts w:ascii="Verdana" w:eastAsia="Times New Roman" w:hAnsi="Verdana" w:cs="Times New Roman"/>
          <w:color w:val="003366"/>
          <w:sz w:val="29"/>
          <w:szCs w:val="29"/>
          <w:lang w:eastAsia="en-GB"/>
        </w:rPr>
        <w:t>Outcomes of Examination</w:t>
      </w:r>
    </w:p>
    <w:p w:rsidR="00A03FF4" w:rsidRPr="004D40F3" w:rsidRDefault="00743755" w:rsidP="00A03FF4">
      <w:pPr>
        <w:spacing w:after="300" w:line="240" w:lineRule="auto"/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9</w:t>
      </w:r>
      <w:r w:rsidR="00A03FF4" w:rsidRPr="004D40F3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. The degree of </w:t>
      </w:r>
      <w:proofErr w:type="spellStart"/>
      <w:r w:rsidR="00A03FF4" w:rsidRPr="004D40F3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D</w:t>
      </w:r>
      <w:r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Agrifood</w:t>
      </w:r>
      <w:proofErr w:type="spellEnd"/>
      <w:r w:rsidR="00A03FF4" w:rsidRPr="004D40F3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will be conferred on candidates who have successfully completed the taught component of the programme </w:t>
      </w:r>
      <w:r w:rsidR="00C94075" w:rsidRPr="004D40F3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(including the assessed critical </w:t>
      </w:r>
      <w:r w:rsidR="002321BC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literature </w:t>
      </w:r>
      <w:r w:rsidR="00C94075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review</w:t>
      </w:r>
      <w:r w:rsidR="00C94075" w:rsidRPr="004D40F3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and research plan) </w:t>
      </w:r>
      <w:r w:rsidR="00A03FF4" w:rsidRPr="004D40F3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and have satisfied the Examiners as to the standard of the </w:t>
      </w:r>
      <w:r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Research </w:t>
      </w:r>
      <w:r w:rsidR="00C94075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and </w:t>
      </w:r>
      <w:r w:rsidR="00A03FF4" w:rsidRPr="004D40F3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thesis.</w:t>
      </w:r>
    </w:p>
    <w:p w:rsidR="00A03FF4" w:rsidRPr="00A03FF4" w:rsidRDefault="00A03FF4" w:rsidP="00A03FF4">
      <w:pPr>
        <w:spacing w:after="300" w:line="240" w:lineRule="auto"/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</w:pPr>
      <w:r w:rsidRPr="00A03FF4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1</w:t>
      </w:r>
      <w:r w:rsidR="00743755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0</w:t>
      </w:r>
      <w:r w:rsidRPr="00A03FF4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. Candidates who either do not undertake or fail the research </w:t>
      </w:r>
      <w:r w:rsidR="00C94075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thesis</w:t>
      </w:r>
      <w:r w:rsidRPr="00A03FF4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but successfully complete part or the whole of the taught programme</w:t>
      </w:r>
      <w:r w:rsidR="00C94075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>,</w:t>
      </w:r>
      <w:r w:rsidRPr="00A03FF4">
        <w:rPr>
          <w:rFonts w:ascii="Verdana" w:eastAsia="Times New Roman" w:hAnsi="Verdana" w:cs="Times New Roman"/>
          <w:color w:val="535353"/>
          <w:sz w:val="18"/>
          <w:szCs w:val="18"/>
          <w:lang w:eastAsia="en-GB"/>
        </w:rPr>
        <w:t xml:space="preserve"> may be considered for the following awards: Postgraduate Certificate (60 credits), Postgraduate Diploma (120 credits) or MSc (180 credits) depending on the specifications of the individual programme. </w:t>
      </w:r>
    </w:p>
    <w:p w:rsidR="00F076EC" w:rsidRDefault="0075768E"/>
    <w:sectPr w:rsidR="00F07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F4"/>
    <w:rsid w:val="002321BC"/>
    <w:rsid w:val="00541F03"/>
    <w:rsid w:val="00542E6A"/>
    <w:rsid w:val="006E069A"/>
    <w:rsid w:val="00743755"/>
    <w:rsid w:val="0075768E"/>
    <w:rsid w:val="0086170B"/>
    <w:rsid w:val="00934B68"/>
    <w:rsid w:val="009A5BE6"/>
    <w:rsid w:val="00A03FF4"/>
    <w:rsid w:val="00C9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BC539-99D9-4457-8E64-67B82699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F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21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ttingham.ac.uk/academicservices/qualitymanual/researchdegreeprogrammes/phd-and-mphil-regulations.aspx" TargetMode="External"/><Relationship Id="rId4" Type="http://schemas.openxmlformats.org/officeDocument/2006/relationships/hyperlink" Target="http://www.nottingham.ac.uk/academicservices/qualitymanual/assessmentandawards/taughtmastersdegrees,postgraduatediplomaandpostgraduatecertificatecours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7D4C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Brameld John</dc:creator>
  <cp:keywords/>
  <dc:description/>
  <cp:lastModifiedBy>Reeves Alison</cp:lastModifiedBy>
  <cp:revision>2</cp:revision>
  <dcterms:created xsi:type="dcterms:W3CDTF">2017-08-04T09:45:00Z</dcterms:created>
  <dcterms:modified xsi:type="dcterms:W3CDTF">2017-08-04T09:45:00Z</dcterms:modified>
</cp:coreProperties>
</file>