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8C5BA" w14:textId="72546518" w:rsidR="00B80EEC" w:rsidRPr="00766F4C" w:rsidRDefault="00766F4C" w:rsidP="00B451A2">
      <w:pPr>
        <w:spacing w:after="0"/>
        <w:rPr>
          <w:rFonts w:cs="Times New Roman"/>
          <w:b/>
          <w:sz w:val="22"/>
          <w:szCs w:val="22"/>
        </w:rPr>
      </w:pPr>
      <w:bookmarkStart w:id="0" w:name="_GoBack"/>
      <w:bookmarkEnd w:id="0"/>
      <w:r>
        <w:rPr>
          <w:rFonts w:cs="Times New Roman"/>
          <w:b/>
          <w:sz w:val="22"/>
          <w:szCs w:val="22"/>
        </w:rPr>
        <w:t>Casual</w:t>
      </w:r>
      <w:r w:rsidR="00BA3CEE">
        <w:rPr>
          <w:rFonts w:cs="Times New Roman"/>
          <w:b/>
          <w:sz w:val="22"/>
          <w:szCs w:val="22"/>
        </w:rPr>
        <w:t xml:space="preserve"> Engagement Policy</w:t>
      </w:r>
    </w:p>
    <w:p w14:paraId="4F962F49" w14:textId="77777777" w:rsidR="00494BC8" w:rsidRPr="00DE1275" w:rsidRDefault="00494BC8" w:rsidP="00B451A2">
      <w:pPr>
        <w:spacing w:after="0"/>
        <w:rPr>
          <w:rFonts w:cs="Times New Roman"/>
          <w:b/>
        </w:rPr>
      </w:pPr>
    </w:p>
    <w:p w14:paraId="4FA0DEA2" w14:textId="77777777" w:rsidR="00836D5C" w:rsidRPr="005C1577" w:rsidRDefault="00836D5C" w:rsidP="00937C30">
      <w:pPr>
        <w:pStyle w:val="Heading1"/>
        <w:ind w:left="357" w:hanging="357"/>
        <w:rPr>
          <w:rStyle w:val="Emphasis"/>
          <w:i w:val="0"/>
          <w:iCs w:val="0"/>
        </w:rPr>
      </w:pPr>
      <w:r w:rsidRPr="005C1577">
        <w:rPr>
          <w:rStyle w:val="Emphasis"/>
          <w:i w:val="0"/>
          <w:iCs w:val="0"/>
        </w:rPr>
        <w:t>Introduction</w:t>
      </w:r>
    </w:p>
    <w:p w14:paraId="5671DA71" w14:textId="4F4583DB" w:rsidR="00725C0E" w:rsidRDefault="00725C0E" w:rsidP="00766F4C">
      <w:pPr>
        <w:spacing w:after="0"/>
        <w:rPr>
          <w:rFonts w:cs="Times New Roman"/>
        </w:rPr>
      </w:pPr>
      <w:r w:rsidRPr="00766F4C">
        <w:rPr>
          <w:rFonts w:cs="Times New Roman"/>
        </w:rPr>
        <w:t xml:space="preserve">This </w:t>
      </w:r>
      <w:r>
        <w:rPr>
          <w:rFonts w:cs="Times New Roman"/>
        </w:rPr>
        <w:t xml:space="preserve">document outlines the </w:t>
      </w:r>
      <w:r w:rsidR="00B2677A">
        <w:rPr>
          <w:rFonts w:cs="Times New Roman"/>
        </w:rPr>
        <w:t>Faculty’s</w:t>
      </w:r>
      <w:r w:rsidR="00B2677A">
        <w:rPr>
          <w:rStyle w:val="FootnoteReference"/>
        </w:rPr>
        <w:footnoteReference w:id="1"/>
      </w:r>
      <w:r w:rsidR="00B2677A">
        <w:rPr>
          <w:rFonts w:cs="Times New Roman"/>
        </w:rPr>
        <w:t xml:space="preserve"> policy for</w:t>
      </w:r>
      <w:r>
        <w:t xml:space="preserve"> engaging and paying casual workers</w:t>
      </w:r>
      <w:r>
        <w:rPr>
          <w:rFonts w:cs="Times New Roman"/>
        </w:rPr>
        <w:t xml:space="preserve">. The policy </w:t>
      </w:r>
      <w:r w:rsidR="00933575">
        <w:rPr>
          <w:rFonts w:cs="Times New Roman"/>
        </w:rPr>
        <w:t>is based on con</w:t>
      </w:r>
      <w:r w:rsidR="00B2677A">
        <w:rPr>
          <w:rFonts w:cs="Times New Roman"/>
        </w:rPr>
        <w:t>sistent and</w:t>
      </w:r>
      <w:r w:rsidRPr="00766F4C">
        <w:rPr>
          <w:rFonts w:cs="Times New Roman"/>
        </w:rPr>
        <w:t xml:space="preserve"> transparent</w:t>
      </w:r>
      <w:r w:rsidR="00B2677A">
        <w:rPr>
          <w:rFonts w:cs="Times New Roman"/>
        </w:rPr>
        <w:t xml:space="preserve"> </w:t>
      </w:r>
      <w:r w:rsidR="00933575">
        <w:rPr>
          <w:rFonts w:cs="Times New Roman"/>
        </w:rPr>
        <w:t xml:space="preserve">pay </w:t>
      </w:r>
      <w:r w:rsidR="00B2677A">
        <w:rPr>
          <w:rFonts w:cs="Times New Roman"/>
        </w:rPr>
        <w:t xml:space="preserve">rates and </w:t>
      </w:r>
      <w:r w:rsidR="00933575">
        <w:rPr>
          <w:rFonts w:cs="Times New Roman"/>
        </w:rPr>
        <w:t xml:space="preserve">provides a robust and fair framework for </w:t>
      </w:r>
      <w:r w:rsidRPr="00766F4C">
        <w:rPr>
          <w:rFonts w:cs="Times New Roman"/>
        </w:rPr>
        <w:t>identif</w:t>
      </w:r>
      <w:r w:rsidR="00B2677A">
        <w:rPr>
          <w:rFonts w:cs="Times New Roman"/>
        </w:rPr>
        <w:t>ying</w:t>
      </w:r>
      <w:r w:rsidRPr="00766F4C">
        <w:rPr>
          <w:rFonts w:cs="Times New Roman"/>
        </w:rPr>
        <w:t xml:space="preserve"> and engag</w:t>
      </w:r>
      <w:r w:rsidR="00B2677A">
        <w:rPr>
          <w:rFonts w:cs="Times New Roman"/>
        </w:rPr>
        <w:t xml:space="preserve">ing casual </w:t>
      </w:r>
      <w:r w:rsidR="00933575">
        <w:rPr>
          <w:rFonts w:cs="Times New Roman"/>
        </w:rPr>
        <w:t>workers. This policy document is for staff and casual workers</w:t>
      </w:r>
      <w:r>
        <w:rPr>
          <w:rFonts w:cs="Times New Roman"/>
        </w:rPr>
        <w:t>.</w:t>
      </w:r>
    </w:p>
    <w:p w14:paraId="33E88DD4" w14:textId="77777777" w:rsidR="001B27D1" w:rsidRDefault="001B27D1" w:rsidP="00766F4C">
      <w:pPr>
        <w:spacing w:after="0"/>
        <w:rPr>
          <w:rFonts w:cs="Times New Roman"/>
        </w:rPr>
      </w:pPr>
    </w:p>
    <w:p w14:paraId="2813F542" w14:textId="0DAE66BA" w:rsidR="0051756A" w:rsidRDefault="001B27D1" w:rsidP="00766F4C">
      <w:pPr>
        <w:spacing w:after="0"/>
        <w:rPr>
          <w:rFonts w:cs="Times New Roman"/>
        </w:rPr>
      </w:pPr>
      <w:r>
        <w:rPr>
          <w:rFonts w:cs="Times New Roman"/>
        </w:rPr>
        <w:t xml:space="preserve">The policy and documents are reviewed regularly. For </w:t>
      </w:r>
      <w:r w:rsidR="00933575">
        <w:rPr>
          <w:rFonts w:cs="Times New Roman"/>
        </w:rPr>
        <w:t xml:space="preserve">the latest </w:t>
      </w:r>
      <w:r>
        <w:rPr>
          <w:rFonts w:cs="Times New Roman"/>
        </w:rPr>
        <w:t>information p</w:t>
      </w:r>
      <w:r w:rsidR="0051756A">
        <w:rPr>
          <w:rFonts w:cs="Times New Roman"/>
        </w:rPr>
        <w:t xml:space="preserve">lease </w:t>
      </w:r>
      <w:r w:rsidR="00E550BC">
        <w:rPr>
          <w:rFonts w:cs="Times New Roman"/>
        </w:rPr>
        <w:t>go to</w:t>
      </w:r>
      <w:r w:rsidR="0051756A">
        <w:rPr>
          <w:rFonts w:cs="Times New Roman"/>
        </w:rPr>
        <w:t xml:space="preserve"> the </w:t>
      </w:r>
      <w:hyperlink r:id="rId8" w:history="1">
        <w:r w:rsidR="0051756A" w:rsidRPr="00E550BC">
          <w:rPr>
            <w:rStyle w:val="Hyperlink"/>
            <w:rFonts w:cs="Times New Roman"/>
          </w:rPr>
          <w:t>Faculty</w:t>
        </w:r>
        <w:r>
          <w:rPr>
            <w:rStyle w:val="Hyperlink"/>
            <w:rFonts w:cs="Times New Roman"/>
          </w:rPr>
          <w:t>’s</w:t>
        </w:r>
        <w:r w:rsidR="0051756A" w:rsidRPr="00E550BC">
          <w:rPr>
            <w:rStyle w:val="Hyperlink"/>
            <w:rFonts w:cs="Times New Roman"/>
          </w:rPr>
          <w:t xml:space="preserve"> casual p</w:t>
        </w:r>
        <w:r>
          <w:rPr>
            <w:rStyle w:val="Hyperlink"/>
            <w:rFonts w:cs="Times New Roman"/>
          </w:rPr>
          <w:t>olicy pages</w:t>
        </w:r>
      </w:hyperlink>
      <w:r w:rsidR="00E550BC">
        <w:rPr>
          <w:rFonts w:cs="Times New Roman"/>
        </w:rPr>
        <w:t>.</w:t>
      </w:r>
    </w:p>
    <w:p w14:paraId="20B4B4ED" w14:textId="77777777" w:rsidR="0051756A" w:rsidRDefault="0051756A" w:rsidP="00766F4C">
      <w:pPr>
        <w:spacing w:after="0"/>
        <w:rPr>
          <w:rFonts w:cs="Times New Roman"/>
        </w:rPr>
      </w:pPr>
    </w:p>
    <w:p w14:paraId="2CAB0A09" w14:textId="5C78B062" w:rsidR="00480A9D" w:rsidRDefault="00480A9D" w:rsidP="00937C30">
      <w:pPr>
        <w:pStyle w:val="Heading1"/>
        <w:ind w:left="357" w:hanging="357"/>
      </w:pPr>
      <w:r>
        <w:t xml:space="preserve">Eligibility to work, </w:t>
      </w:r>
      <w:r w:rsidRPr="00480A9D">
        <w:t>number</w:t>
      </w:r>
      <w:r>
        <w:t xml:space="preserve"> of hours</w:t>
      </w:r>
    </w:p>
    <w:p w14:paraId="38ACCF0A" w14:textId="77777777" w:rsidR="00480A9D" w:rsidRDefault="00480A9D" w:rsidP="00480A9D">
      <w:pPr>
        <w:spacing w:after="0"/>
      </w:pPr>
      <w:r>
        <w:t>UK legislation requires employers to undertake checks which establish eligibility to work in the UK. Each year, when registering to undertake work, you will be asked to provide evidence of eligibility to work documentation, e.g. passport, visa, national identity card.</w:t>
      </w:r>
    </w:p>
    <w:p w14:paraId="588F8F51" w14:textId="77777777" w:rsidR="00480A9D" w:rsidRDefault="00480A9D" w:rsidP="00480A9D">
      <w:pPr>
        <w:spacing w:after="0"/>
      </w:pPr>
    </w:p>
    <w:p w14:paraId="167A0AB8" w14:textId="23694E45" w:rsidR="00480A9D" w:rsidRPr="00210732" w:rsidRDefault="00480A9D" w:rsidP="00480A9D">
      <w:pPr>
        <w:spacing w:after="0"/>
        <w:rPr>
          <w:rFonts w:cs="Times New Roman"/>
        </w:rPr>
      </w:pPr>
      <w:r>
        <w:t xml:space="preserve">Most students are eligible to work during their studies, </w:t>
      </w:r>
      <w:r w:rsidRPr="00210732">
        <w:rPr>
          <w:rFonts w:cs="Times New Roman"/>
        </w:rPr>
        <w:t xml:space="preserve">subject </w:t>
      </w:r>
      <w:r>
        <w:rPr>
          <w:rFonts w:cs="Times New Roman"/>
        </w:rPr>
        <w:t xml:space="preserve">to restrictions </w:t>
      </w:r>
      <w:r w:rsidR="00F55C4B">
        <w:rPr>
          <w:rFonts w:cs="Times New Roman"/>
        </w:rPr>
        <w:t>of</w:t>
      </w:r>
      <w:r w:rsidRPr="00210732">
        <w:rPr>
          <w:rFonts w:cs="Times New Roman"/>
        </w:rPr>
        <w:t xml:space="preserve"> </w:t>
      </w:r>
      <w:r>
        <w:rPr>
          <w:rFonts w:cs="Times New Roman"/>
        </w:rPr>
        <w:t>UK Government policy, University policy</w:t>
      </w:r>
      <w:r w:rsidRPr="00210732">
        <w:rPr>
          <w:rFonts w:cs="Times New Roman"/>
        </w:rPr>
        <w:t xml:space="preserve"> </w:t>
      </w:r>
      <w:r>
        <w:rPr>
          <w:rFonts w:cs="Times New Roman"/>
        </w:rPr>
        <w:t xml:space="preserve">and </w:t>
      </w:r>
      <w:r w:rsidRPr="00210732">
        <w:rPr>
          <w:rFonts w:cs="Times New Roman"/>
        </w:rPr>
        <w:t xml:space="preserve">the requirements of any </w:t>
      </w:r>
      <w:r>
        <w:rPr>
          <w:rFonts w:cs="Times New Roman"/>
        </w:rPr>
        <w:t>studentship or funding award held</w:t>
      </w:r>
      <w:r>
        <w:t xml:space="preserve">. The </w:t>
      </w:r>
      <w:hyperlink r:id="rId9" w:history="1">
        <w:r w:rsidRPr="00D34663">
          <w:rPr>
            <w:rStyle w:val="Hyperlink"/>
            <w:rFonts w:cs="Times New Roman"/>
          </w:rPr>
          <w:t>UK Council for International Student Affairs</w:t>
        </w:r>
      </w:hyperlink>
      <w:r>
        <w:rPr>
          <w:rFonts w:cs="Times New Roman"/>
        </w:rPr>
        <w:t xml:space="preserve"> provides information regarding the eligibility of international students </w:t>
      </w:r>
      <w:r w:rsidR="00F55C4B">
        <w:rPr>
          <w:rFonts w:cs="Times New Roman"/>
        </w:rPr>
        <w:t xml:space="preserve">to </w:t>
      </w:r>
      <w:r>
        <w:rPr>
          <w:rFonts w:cs="Times New Roman"/>
        </w:rPr>
        <w:t>work during their studies</w:t>
      </w:r>
      <w:r w:rsidRPr="00FC016C">
        <w:rPr>
          <w:rFonts w:cs="Times New Roman"/>
        </w:rPr>
        <w:t>.</w:t>
      </w:r>
      <w:r>
        <w:rPr>
          <w:rFonts w:cs="Times New Roman"/>
        </w:rPr>
        <w:t xml:space="preserve"> Currently, </w:t>
      </w:r>
      <w:r>
        <w:t xml:space="preserve">University policy on the </w:t>
      </w:r>
      <w:r w:rsidRPr="00210732">
        <w:rPr>
          <w:rFonts w:cs="Times New Roman"/>
        </w:rPr>
        <w:t xml:space="preserve">maximum permissible </w:t>
      </w:r>
      <w:r>
        <w:rPr>
          <w:rFonts w:cs="Times New Roman"/>
        </w:rPr>
        <w:t xml:space="preserve">hours </w:t>
      </w:r>
      <w:r w:rsidRPr="00210732">
        <w:rPr>
          <w:rFonts w:cs="Times New Roman"/>
        </w:rPr>
        <w:t>(inclusive of prepara</w:t>
      </w:r>
      <w:r>
        <w:rPr>
          <w:rFonts w:cs="Times New Roman"/>
        </w:rPr>
        <w:t xml:space="preserve">tion, delivery and marking) for </w:t>
      </w:r>
      <w:r>
        <w:t xml:space="preserve">PhD students is 6 hours per week averaged over the year but please see the University’s </w:t>
      </w:r>
      <w:hyperlink r:id="rId10" w:history="1">
        <w:r w:rsidRPr="00556E0E">
          <w:rPr>
            <w:rStyle w:val="Hyperlink"/>
          </w:rPr>
          <w:t>Quality Manual</w:t>
        </w:r>
      </w:hyperlink>
      <w:r>
        <w:t xml:space="preserve"> for </w:t>
      </w:r>
      <w:r w:rsidR="00F55C4B">
        <w:t>any updates</w:t>
      </w:r>
      <w:r>
        <w:t xml:space="preserve">. </w:t>
      </w:r>
    </w:p>
    <w:p w14:paraId="5687A3FD" w14:textId="77777777" w:rsidR="00480A9D" w:rsidRDefault="00480A9D" w:rsidP="00766F4C">
      <w:pPr>
        <w:spacing w:after="0"/>
        <w:rPr>
          <w:rFonts w:cs="Times New Roman"/>
        </w:rPr>
      </w:pPr>
    </w:p>
    <w:p w14:paraId="7422DDD8" w14:textId="77777777" w:rsidR="00B451A2" w:rsidRPr="005C1577" w:rsidRDefault="00027B6A" w:rsidP="00937C30">
      <w:pPr>
        <w:pStyle w:val="Heading1"/>
        <w:ind w:left="357" w:hanging="357"/>
        <w:rPr>
          <w:rStyle w:val="SubtleEmphasis"/>
          <w:i w:val="0"/>
          <w:iCs w:val="0"/>
          <w:color w:val="auto"/>
        </w:rPr>
      </w:pPr>
      <w:r>
        <w:rPr>
          <w:rStyle w:val="SubtleEmphasis"/>
          <w:i w:val="0"/>
          <w:iCs w:val="0"/>
          <w:color w:val="auto"/>
        </w:rPr>
        <w:t>What’s covered in the document</w:t>
      </w:r>
    </w:p>
    <w:p w14:paraId="150F4880" w14:textId="19EC66FD" w:rsidR="0051756A" w:rsidRDefault="0051756A" w:rsidP="0051756A">
      <w:pPr>
        <w:spacing w:after="0"/>
        <w:rPr>
          <w:rFonts w:cs="Times New Roman"/>
        </w:rPr>
      </w:pPr>
      <w:r w:rsidRPr="00766F4C">
        <w:rPr>
          <w:rFonts w:cs="Times New Roman"/>
        </w:rPr>
        <w:t xml:space="preserve">A casual worker is someone who is able to work on a flexible basis, usually for a short period of time, to meet changing demands and peak workloads. Casual workers are not employees of the University of Nottingham. </w:t>
      </w:r>
      <w:r>
        <w:rPr>
          <w:rFonts w:cs="Times New Roman"/>
        </w:rPr>
        <w:t>Casual workers</w:t>
      </w:r>
      <w:r w:rsidRPr="00766F4C">
        <w:rPr>
          <w:rFonts w:cs="Times New Roman"/>
        </w:rPr>
        <w:t xml:space="preserve"> have no obligation to be available for work and the University has no obligation to provide work. </w:t>
      </w:r>
      <w:r>
        <w:rPr>
          <w:rFonts w:cs="Times New Roman"/>
        </w:rPr>
        <w:t>Casual workers</w:t>
      </w:r>
      <w:r w:rsidRPr="00766F4C">
        <w:rPr>
          <w:rFonts w:cs="Times New Roman"/>
        </w:rPr>
        <w:t xml:space="preserve"> have neither service conditions nor continuity of engagement. </w:t>
      </w:r>
      <w:r w:rsidR="00DD65F6">
        <w:rPr>
          <w:rFonts w:cs="Times New Roman"/>
        </w:rPr>
        <w:t xml:space="preserve">Casual workers are </w:t>
      </w:r>
      <w:r w:rsidR="00DD65F6" w:rsidRPr="00766F4C">
        <w:rPr>
          <w:rFonts w:cs="Times New Roman"/>
        </w:rPr>
        <w:t xml:space="preserve">paid for the hours they work </w:t>
      </w:r>
      <w:r w:rsidR="00DD65F6">
        <w:rPr>
          <w:rFonts w:cs="Times New Roman"/>
        </w:rPr>
        <w:t xml:space="preserve">plus an additional </w:t>
      </w:r>
      <w:r w:rsidR="00F55C4B">
        <w:rPr>
          <w:rFonts w:cs="Times New Roman"/>
        </w:rPr>
        <w:t xml:space="preserve">payment equivalent to </w:t>
      </w:r>
      <w:r w:rsidR="00DD65F6">
        <w:rPr>
          <w:rFonts w:cs="Times New Roman"/>
        </w:rPr>
        <w:t xml:space="preserve">12.07% per hour (based on the hourly rate) in lieu of </w:t>
      </w:r>
      <w:r w:rsidR="00DD65F6" w:rsidRPr="00766F4C">
        <w:rPr>
          <w:rFonts w:cs="Times New Roman"/>
        </w:rPr>
        <w:t xml:space="preserve">annual leave. </w:t>
      </w:r>
      <w:r>
        <w:rPr>
          <w:rFonts w:cs="Times New Roman"/>
        </w:rPr>
        <w:t xml:space="preserve">More information about casual workers may be found on the </w:t>
      </w:r>
      <w:hyperlink r:id="rId11" w:history="1">
        <w:r w:rsidRPr="00B217D6">
          <w:rPr>
            <w:rStyle w:val="Hyperlink"/>
            <w:rFonts w:cs="Times New Roman"/>
          </w:rPr>
          <w:t>University’s Casual Workers webpages</w:t>
        </w:r>
      </w:hyperlink>
      <w:r>
        <w:rPr>
          <w:rFonts w:cs="Times New Roman"/>
        </w:rPr>
        <w:t>.</w:t>
      </w:r>
    </w:p>
    <w:p w14:paraId="065D0B41" w14:textId="77777777" w:rsidR="0051756A" w:rsidRDefault="0051756A" w:rsidP="0051756A">
      <w:pPr>
        <w:spacing w:after="0"/>
        <w:rPr>
          <w:rFonts w:cs="Times New Roman"/>
        </w:rPr>
      </w:pPr>
    </w:p>
    <w:p w14:paraId="78A59EAD" w14:textId="4870B479" w:rsidR="00983FDE" w:rsidRPr="00766F4C" w:rsidRDefault="00983FDE" w:rsidP="00766F4C">
      <w:pPr>
        <w:spacing w:after="0"/>
        <w:rPr>
          <w:rFonts w:cs="Times New Roman"/>
          <w:i/>
          <w:u w:val="single"/>
        </w:rPr>
      </w:pPr>
      <w:r w:rsidRPr="00766F4C">
        <w:rPr>
          <w:rFonts w:cs="Times New Roman"/>
        </w:rPr>
        <w:t xml:space="preserve">Casual workers within the Faculty of </w:t>
      </w:r>
      <w:r w:rsidR="00766F4C" w:rsidRPr="00766F4C">
        <w:rPr>
          <w:rFonts w:cs="Times New Roman"/>
        </w:rPr>
        <w:t xml:space="preserve">Arts </w:t>
      </w:r>
      <w:r w:rsidR="00DD65F6">
        <w:rPr>
          <w:rFonts w:cs="Times New Roman"/>
        </w:rPr>
        <w:t>are</w:t>
      </w:r>
      <w:r w:rsidRPr="00766F4C">
        <w:rPr>
          <w:rFonts w:cs="Times New Roman"/>
        </w:rPr>
        <w:t>:</w:t>
      </w:r>
    </w:p>
    <w:p w14:paraId="04C552C1" w14:textId="1D37BB0C" w:rsidR="002430FF" w:rsidRPr="002430FF" w:rsidRDefault="009B57FA" w:rsidP="00D17CCE">
      <w:pPr>
        <w:pStyle w:val="ListParagraph"/>
        <w:numPr>
          <w:ilvl w:val="3"/>
          <w:numId w:val="19"/>
        </w:numPr>
        <w:spacing w:after="0"/>
        <w:ind w:left="714" w:hanging="357"/>
        <w:rPr>
          <w:rFonts w:cs="Times New Roman"/>
        </w:rPr>
      </w:pPr>
      <w:hyperlink w:anchor="Accompanists" w:history="1">
        <w:r w:rsidR="002430FF" w:rsidRPr="003C3820">
          <w:rPr>
            <w:rStyle w:val="Hyperlink"/>
            <w:rFonts w:cs="Times New Roman"/>
          </w:rPr>
          <w:t>Accompanists</w:t>
        </w:r>
      </w:hyperlink>
      <w:r w:rsidR="00F55C4B">
        <w:rPr>
          <w:rStyle w:val="Hyperlink"/>
          <w:rFonts w:cs="Times New Roman"/>
        </w:rPr>
        <w:t xml:space="preserve"> (Recital Exam)</w:t>
      </w:r>
    </w:p>
    <w:p w14:paraId="21046BFD" w14:textId="2A1A32BE" w:rsidR="00766F4C" w:rsidRPr="00BE3744" w:rsidRDefault="009B57FA" w:rsidP="00D17CCE">
      <w:pPr>
        <w:pStyle w:val="ListParagraph"/>
        <w:numPr>
          <w:ilvl w:val="3"/>
          <w:numId w:val="19"/>
        </w:numPr>
        <w:spacing w:after="0"/>
        <w:ind w:left="714" w:hanging="357"/>
        <w:rPr>
          <w:rFonts w:cs="Times New Roman"/>
          <w:u w:val="single"/>
        </w:rPr>
      </w:pPr>
      <w:hyperlink w:anchor="Administrators" w:history="1">
        <w:r w:rsidR="00E15863" w:rsidRPr="00E15863">
          <w:rPr>
            <w:rStyle w:val="Hyperlink"/>
            <w:rFonts w:cs="Times New Roman"/>
          </w:rPr>
          <w:t>Administrators</w:t>
        </w:r>
      </w:hyperlink>
    </w:p>
    <w:p w14:paraId="41AF9364" w14:textId="60A5F471" w:rsidR="00766F4C" w:rsidRPr="00BE3744" w:rsidRDefault="009B57FA" w:rsidP="00D17CCE">
      <w:pPr>
        <w:pStyle w:val="ListParagraph"/>
        <w:numPr>
          <w:ilvl w:val="3"/>
          <w:numId w:val="19"/>
        </w:numPr>
        <w:spacing w:after="0"/>
        <w:ind w:left="714" w:hanging="357"/>
        <w:rPr>
          <w:rFonts w:cs="Times New Roman"/>
          <w:u w:val="single"/>
        </w:rPr>
      </w:pPr>
      <w:hyperlink w:anchor="Demonstrators" w:history="1">
        <w:r w:rsidR="00766F4C" w:rsidRPr="00E15863">
          <w:rPr>
            <w:rStyle w:val="Hyperlink"/>
            <w:rFonts w:cs="Times New Roman"/>
          </w:rPr>
          <w:t>Demonstrator</w:t>
        </w:r>
        <w:r w:rsidR="00210732" w:rsidRPr="00E15863">
          <w:rPr>
            <w:rStyle w:val="Hyperlink"/>
            <w:rFonts w:cs="Times New Roman"/>
          </w:rPr>
          <w:t>s</w:t>
        </w:r>
      </w:hyperlink>
    </w:p>
    <w:p w14:paraId="07B62BF0" w14:textId="305021B3" w:rsidR="00766F4C" w:rsidRPr="00BE3744" w:rsidRDefault="009B57FA" w:rsidP="00D17CCE">
      <w:pPr>
        <w:pStyle w:val="ListParagraph"/>
        <w:numPr>
          <w:ilvl w:val="3"/>
          <w:numId w:val="19"/>
        </w:numPr>
        <w:spacing w:after="0"/>
        <w:ind w:left="714" w:hanging="357"/>
        <w:rPr>
          <w:rFonts w:cs="Times New Roman"/>
          <w:u w:val="single"/>
        </w:rPr>
      </w:pPr>
      <w:hyperlink w:anchor="InstrumentTutors" w:history="1">
        <w:r w:rsidR="00766F4C" w:rsidRPr="003C3820">
          <w:rPr>
            <w:rStyle w:val="Hyperlink"/>
            <w:rFonts w:cs="Times New Roman"/>
          </w:rPr>
          <w:t>Instrumental Tutors</w:t>
        </w:r>
      </w:hyperlink>
      <w:r w:rsidR="006D5FC6">
        <w:rPr>
          <w:rStyle w:val="Hyperlink"/>
          <w:rFonts w:cs="Times New Roman"/>
        </w:rPr>
        <w:t>/Workshop Accompanists</w:t>
      </w:r>
    </w:p>
    <w:p w14:paraId="72C04A09" w14:textId="19253B4A" w:rsidR="00766F4C" w:rsidRPr="00BE3744" w:rsidRDefault="009B57FA" w:rsidP="00D17CCE">
      <w:pPr>
        <w:pStyle w:val="ListParagraph"/>
        <w:numPr>
          <w:ilvl w:val="3"/>
          <w:numId w:val="19"/>
        </w:numPr>
        <w:spacing w:after="0"/>
        <w:ind w:left="714" w:hanging="357"/>
        <w:rPr>
          <w:rFonts w:cs="Times New Roman"/>
          <w:u w:val="single"/>
        </w:rPr>
      </w:pPr>
      <w:hyperlink w:anchor="ResearchAffiliates" w:history="1">
        <w:r w:rsidR="00766F4C" w:rsidRPr="003C3820">
          <w:rPr>
            <w:rStyle w:val="Hyperlink"/>
            <w:rFonts w:cs="Times New Roman"/>
          </w:rPr>
          <w:t>Research Affiliates</w:t>
        </w:r>
      </w:hyperlink>
    </w:p>
    <w:p w14:paraId="55E52FC8" w14:textId="4F8EF906" w:rsidR="00983FDE" w:rsidRPr="00BE3744" w:rsidRDefault="009B57FA" w:rsidP="00D17CCE">
      <w:pPr>
        <w:pStyle w:val="ListParagraph"/>
        <w:numPr>
          <w:ilvl w:val="3"/>
          <w:numId w:val="19"/>
        </w:numPr>
        <w:spacing w:after="0"/>
        <w:ind w:left="714" w:hanging="357"/>
        <w:rPr>
          <w:rFonts w:cs="Times New Roman"/>
          <w:u w:val="single"/>
        </w:rPr>
      </w:pPr>
      <w:hyperlink w:anchor="StudentAmbassadors" w:history="1">
        <w:r w:rsidR="00B80EEC" w:rsidRPr="003C3820">
          <w:rPr>
            <w:rStyle w:val="Hyperlink"/>
            <w:rFonts w:cs="Times New Roman"/>
          </w:rPr>
          <w:t>Student A</w:t>
        </w:r>
        <w:r w:rsidR="00983FDE" w:rsidRPr="003C3820">
          <w:rPr>
            <w:rStyle w:val="Hyperlink"/>
            <w:rFonts w:cs="Times New Roman"/>
          </w:rPr>
          <w:t>mbassadors</w:t>
        </w:r>
      </w:hyperlink>
    </w:p>
    <w:p w14:paraId="5466F6E1" w14:textId="2AA4E101" w:rsidR="00766F4C" w:rsidRPr="00725C0E" w:rsidRDefault="009B57FA" w:rsidP="00D17CCE">
      <w:pPr>
        <w:pStyle w:val="ListParagraph"/>
        <w:numPr>
          <w:ilvl w:val="3"/>
          <w:numId w:val="19"/>
        </w:numPr>
        <w:spacing w:after="0"/>
        <w:ind w:left="714" w:hanging="357"/>
        <w:rPr>
          <w:rFonts w:cs="Times New Roman"/>
          <w:u w:val="single"/>
        </w:rPr>
      </w:pPr>
      <w:hyperlink w:anchor="TeachingAffiliates" w:history="1">
        <w:r w:rsidR="00B80EEC" w:rsidRPr="003C3820">
          <w:rPr>
            <w:rStyle w:val="Hyperlink"/>
            <w:rFonts w:cs="Times New Roman"/>
          </w:rPr>
          <w:t>Teaching A</w:t>
        </w:r>
        <w:r w:rsidR="00350CD1" w:rsidRPr="003C3820">
          <w:rPr>
            <w:rStyle w:val="Hyperlink"/>
            <w:rFonts w:cs="Times New Roman"/>
          </w:rPr>
          <w:t>ffiliates</w:t>
        </w:r>
      </w:hyperlink>
    </w:p>
    <w:p w14:paraId="49E9229D" w14:textId="77777777" w:rsidR="00725C0E" w:rsidRDefault="00725C0E" w:rsidP="00725C0E">
      <w:pPr>
        <w:spacing w:after="0"/>
        <w:rPr>
          <w:rFonts w:cs="Times New Roman"/>
          <w:u w:val="single"/>
        </w:rPr>
      </w:pPr>
    </w:p>
    <w:p w14:paraId="77E83874" w14:textId="251F5FBF" w:rsidR="00725C0E" w:rsidRDefault="00725C0E" w:rsidP="00725C0E">
      <w:pPr>
        <w:spacing w:after="0"/>
        <w:rPr>
          <w:rFonts w:cs="Times New Roman"/>
        </w:rPr>
      </w:pPr>
      <w:r w:rsidRPr="00027B6A">
        <w:rPr>
          <w:rFonts w:cs="Times New Roman"/>
        </w:rPr>
        <w:t xml:space="preserve">In addition this document </w:t>
      </w:r>
      <w:r w:rsidR="00C45CCA">
        <w:rPr>
          <w:rFonts w:cs="Times New Roman"/>
        </w:rPr>
        <w:t xml:space="preserve">details the Faculty’s policy for payment of </w:t>
      </w:r>
      <w:hyperlink w:anchor="VisitingGuest" w:history="1">
        <w:r w:rsidRPr="003C3820">
          <w:rPr>
            <w:rStyle w:val="Hyperlink"/>
            <w:rFonts w:cs="Times New Roman"/>
          </w:rPr>
          <w:t>Visiting/Guest Speakers</w:t>
        </w:r>
      </w:hyperlink>
      <w:r w:rsidR="00C45CCA">
        <w:rPr>
          <w:rFonts w:cs="Times New Roman"/>
        </w:rPr>
        <w:t>.</w:t>
      </w:r>
    </w:p>
    <w:p w14:paraId="4CD32DB3" w14:textId="77777777" w:rsidR="00DE279C" w:rsidRPr="007776E4" w:rsidRDefault="00DE279C" w:rsidP="00480A9D">
      <w:pPr>
        <w:spacing w:after="0"/>
      </w:pPr>
    </w:p>
    <w:p w14:paraId="692651F2" w14:textId="424B8C88" w:rsidR="002430FF" w:rsidRDefault="002430FF" w:rsidP="00937C30">
      <w:pPr>
        <w:pStyle w:val="Heading1"/>
        <w:ind w:left="357" w:hanging="357"/>
      </w:pPr>
      <w:bookmarkStart w:id="1" w:name="Accompanists"/>
      <w:bookmarkEnd w:id="1"/>
      <w:r>
        <w:t>Accompanists</w:t>
      </w:r>
      <w:r w:rsidR="00410ED1">
        <w:t xml:space="preserve"> (Recital Exam)</w:t>
      </w:r>
    </w:p>
    <w:p w14:paraId="122E51E1" w14:textId="2301C28F" w:rsidR="002430FF" w:rsidRPr="00AD1A6B" w:rsidRDefault="002430FF" w:rsidP="00AD1A6B">
      <w:r w:rsidRPr="00AD1A6B">
        <w:t>Accompanist</w:t>
      </w:r>
      <w:r>
        <w:t>s provide a subsidiary musical accompaniment to a student si</w:t>
      </w:r>
      <w:r w:rsidR="00027B6A">
        <w:t>nger, instrumentalist or choir</w:t>
      </w:r>
      <w:r w:rsidR="004D7321">
        <w:t xml:space="preserve">. </w:t>
      </w:r>
    </w:p>
    <w:p w14:paraId="09D38739" w14:textId="58B35C29" w:rsidR="00027B6A" w:rsidRDefault="004D7321" w:rsidP="002430FF">
      <w:pPr>
        <w:spacing w:after="0"/>
      </w:pPr>
      <w:r>
        <w:t>Students taking Music’s Performance module are responsible for arranging an accompanist</w:t>
      </w:r>
      <w:r w:rsidR="002B1B5E">
        <w:t>(s)</w:t>
      </w:r>
      <w:r w:rsidR="003016EA">
        <w:t xml:space="preserve"> for the end of year assessment</w:t>
      </w:r>
      <w:r>
        <w:t xml:space="preserve">. The Department </w:t>
      </w:r>
      <w:r w:rsidR="00E07E05">
        <w:t xml:space="preserve">provides a list of Approved Accompanists and </w:t>
      </w:r>
      <w:r w:rsidR="006D7B5C">
        <w:t>where the chosen</w:t>
      </w:r>
      <w:r w:rsidR="00E07E05">
        <w:t xml:space="preserve"> Accompanist is </w:t>
      </w:r>
      <w:r w:rsidR="006D7B5C">
        <w:t xml:space="preserve">from </w:t>
      </w:r>
      <w:r w:rsidR="00E07E05">
        <w:t>this list</w:t>
      </w:r>
      <w:r w:rsidR="003016EA">
        <w:t>,</w:t>
      </w:r>
      <w:r w:rsidR="00E07E05">
        <w:t xml:space="preserve"> the </w:t>
      </w:r>
      <w:r>
        <w:t xml:space="preserve">cost </w:t>
      </w:r>
      <w:r w:rsidR="006D7B5C">
        <w:t>up to a maximum (</w:t>
      </w:r>
      <w:r w:rsidR="003016EA">
        <w:t xml:space="preserve">amount </w:t>
      </w:r>
      <w:r w:rsidR="006D7B5C">
        <w:t>varies according to the year of study)</w:t>
      </w:r>
      <w:r w:rsidR="00BE1DF6">
        <w:t xml:space="preserve"> </w:t>
      </w:r>
      <w:r w:rsidR="00DD65F6">
        <w:t>is</w:t>
      </w:r>
      <w:r w:rsidR="00BE1DF6">
        <w:t xml:space="preserve"> covered</w:t>
      </w:r>
      <w:r w:rsidR="003016EA">
        <w:t xml:space="preserve"> and paid to the accompanist</w:t>
      </w:r>
      <w:r w:rsidR="002B1B5E">
        <w:t xml:space="preserve"> by the University</w:t>
      </w:r>
      <w:r>
        <w:t xml:space="preserve">. </w:t>
      </w:r>
      <w:r w:rsidR="006D7B5C">
        <w:t>Any costs incurred above the maximum are the responsibility of the student</w:t>
      </w:r>
      <w:r w:rsidR="00BE1DF6">
        <w:t>, with payment being made</w:t>
      </w:r>
      <w:r w:rsidR="006D7B5C">
        <w:t xml:space="preserve"> directly to the Accom</w:t>
      </w:r>
      <w:r w:rsidR="00BE1DF6">
        <w:t>pa</w:t>
      </w:r>
      <w:r w:rsidR="006D7B5C">
        <w:t>nist</w:t>
      </w:r>
      <w:r w:rsidR="00E550BC">
        <w:t>(s)</w:t>
      </w:r>
      <w:r w:rsidR="006D7B5C">
        <w:t xml:space="preserve">. </w:t>
      </w:r>
      <w:r w:rsidR="00E550BC">
        <w:t>No costs are covered if</w:t>
      </w:r>
      <w:r w:rsidR="006D7B5C">
        <w:t xml:space="preserve"> </w:t>
      </w:r>
      <w:r w:rsidR="00E550BC">
        <w:t xml:space="preserve">the </w:t>
      </w:r>
      <w:r w:rsidR="006D7B5C">
        <w:t>chose</w:t>
      </w:r>
      <w:r w:rsidR="00E550BC">
        <w:t>n</w:t>
      </w:r>
      <w:r w:rsidR="006D7B5C">
        <w:t xml:space="preserve"> Accompanist </w:t>
      </w:r>
      <w:r w:rsidR="00E550BC">
        <w:t xml:space="preserve">is </w:t>
      </w:r>
      <w:r w:rsidR="006D7B5C">
        <w:t>not on the Department’s list.</w:t>
      </w:r>
    </w:p>
    <w:p w14:paraId="602998D9" w14:textId="77777777" w:rsidR="003016EA" w:rsidRDefault="003016EA" w:rsidP="002430FF">
      <w:pPr>
        <w:spacing w:after="0"/>
        <w:rPr>
          <w:rFonts w:cs="Times New Roman"/>
        </w:rPr>
      </w:pPr>
    </w:p>
    <w:p w14:paraId="3A853DAC" w14:textId="73E37A77" w:rsidR="00992968" w:rsidRDefault="007754F9" w:rsidP="00992968">
      <w:pPr>
        <w:spacing w:after="0"/>
        <w:rPr>
          <w:rFonts w:cs="Times New Roman"/>
        </w:rPr>
      </w:pPr>
      <w:r>
        <w:rPr>
          <w:rFonts w:cs="Times New Roman"/>
        </w:rPr>
        <w:t>Students are responsible for contacting an Accompanist</w:t>
      </w:r>
      <w:r w:rsidR="003016EA">
        <w:rPr>
          <w:rFonts w:cs="Times New Roman"/>
        </w:rPr>
        <w:t>(s)</w:t>
      </w:r>
      <w:r>
        <w:rPr>
          <w:rFonts w:cs="Times New Roman"/>
        </w:rPr>
        <w:t xml:space="preserve"> </w:t>
      </w:r>
      <w:r w:rsidR="00A2488C">
        <w:rPr>
          <w:rFonts w:cs="Times New Roman"/>
        </w:rPr>
        <w:t>to arrange</w:t>
      </w:r>
      <w:r>
        <w:rPr>
          <w:rFonts w:cs="Times New Roman"/>
        </w:rPr>
        <w:t xml:space="preserve"> accompaniment for their recital and any required rehearsals. </w:t>
      </w:r>
      <w:r w:rsidR="00E11F2A">
        <w:rPr>
          <w:rFonts w:cs="Times New Roman"/>
        </w:rPr>
        <w:t xml:space="preserve">Self-employed Accompanists </w:t>
      </w:r>
      <w:r w:rsidR="00984660">
        <w:rPr>
          <w:rFonts w:cs="Times New Roman"/>
        </w:rPr>
        <w:t>are</w:t>
      </w:r>
      <w:r w:rsidR="00E11F2A">
        <w:rPr>
          <w:rFonts w:cs="Times New Roman"/>
        </w:rPr>
        <w:t xml:space="preserve"> paid on receipt of invoice in line with University practice and timescales. Other Accompanist’s</w:t>
      </w:r>
      <w:r w:rsidR="00E11F2A" w:rsidRPr="005C1577">
        <w:rPr>
          <w:rFonts w:cs="Times New Roman"/>
        </w:rPr>
        <w:t xml:space="preserve"> </w:t>
      </w:r>
      <w:r w:rsidR="00984660">
        <w:rPr>
          <w:rFonts w:cs="Times New Roman"/>
        </w:rPr>
        <w:t>are</w:t>
      </w:r>
      <w:r w:rsidR="00E11F2A" w:rsidRPr="005C1577">
        <w:rPr>
          <w:rFonts w:cs="Times New Roman"/>
        </w:rPr>
        <w:t xml:space="preserve"> administered through </w:t>
      </w:r>
      <w:r w:rsidR="00BA3CEE">
        <w:rPr>
          <w:rFonts w:cs="Times New Roman"/>
        </w:rPr>
        <w:t>HR</w:t>
      </w:r>
      <w:r w:rsidR="00E11F2A" w:rsidRPr="005C1577">
        <w:rPr>
          <w:rFonts w:cs="Times New Roman"/>
        </w:rPr>
        <w:t>.</w:t>
      </w:r>
    </w:p>
    <w:p w14:paraId="249BB372" w14:textId="77777777" w:rsidR="00E11F2A" w:rsidRPr="00992968" w:rsidRDefault="00E11F2A" w:rsidP="00992968">
      <w:pPr>
        <w:spacing w:after="0"/>
        <w:rPr>
          <w:rFonts w:cs="Times New Roman"/>
        </w:rPr>
      </w:pPr>
    </w:p>
    <w:p w14:paraId="043FEC97" w14:textId="01E69743" w:rsidR="00766F4C" w:rsidRPr="00766F4C" w:rsidRDefault="00985629" w:rsidP="00937C30">
      <w:pPr>
        <w:pStyle w:val="Heading1"/>
        <w:ind w:left="357" w:hanging="357"/>
      </w:pPr>
      <w:bookmarkStart w:id="2" w:name="Administrators"/>
      <w:bookmarkEnd w:id="2"/>
      <w:r>
        <w:t>Administrators</w:t>
      </w:r>
    </w:p>
    <w:p w14:paraId="3DEE68B7" w14:textId="32817558" w:rsidR="00766F4C" w:rsidRDefault="00152C48" w:rsidP="00766F4C">
      <w:pPr>
        <w:spacing w:after="0"/>
        <w:rPr>
          <w:rFonts w:cs="Times New Roman"/>
        </w:rPr>
      </w:pPr>
      <w:r>
        <w:rPr>
          <w:rFonts w:cs="Times New Roman"/>
        </w:rPr>
        <w:t>These roles</w:t>
      </w:r>
      <w:r w:rsidR="00F55C4B">
        <w:rPr>
          <w:rFonts w:cs="Times New Roman"/>
        </w:rPr>
        <w:t xml:space="preserve"> are engaged for</w:t>
      </w:r>
      <w:r w:rsidR="00766F4C" w:rsidRPr="00766F4C">
        <w:rPr>
          <w:rFonts w:cs="Times New Roman"/>
        </w:rPr>
        <w:t xml:space="preserve"> a range of </w:t>
      </w:r>
      <w:r w:rsidR="00DD65F6">
        <w:rPr>
          <w:rFonts w:cs="Times New Roman"/>
        </w:rPr>
        <w:t>activities</w:t>
      </w:r>
      <w:r w:rsidR="00984660">
        <w:rPr>
          <w:rFonts w:cs="Times New Roman"/>
        </w:rPr>
        <w:t xml:space="preserve">, such as </w:t>
      </w:r>
      <w:r w:rsidR="003D1245">
        <w:rPr>
          <w:rFonts w:cs="Times New Roman"/>
        </w:rPr>
        <w:t>conference</w:t>
      </w:r>
      <w:r w:rsidR="00984660">
        <w:rPr>
          <w:rFonts w:cs="Times New Roman"/>
        </w:rPr>
        <w:t xml:space="preserve"> </w:t>
      </w:r>
      <w:r w:rsidR="003D1245">
        <w:rPr>
          <w:rFonts w:cs="Times New Roman"/>
        </w:rPr>
        <w:t>s</w:t>
      </w:r>
      <w:r w:rsidR="00984660">
        <w:rPr>
          <w:rFonts w:cs="Times New Roman"/>
        </w:rPr>
        <w:t>upport</w:t>
      </w:r>
      <w:r w:rsidR="00DD65F6">
        <w:rPr>
          <w:rFonts w:cs="Times New Roman"/>
        </w:rPr>
        <w:t xml:space="preserve">, </w:t>
      </w:r>
      <w:r w:rsidR="00766F4C" w:rsidRPr="00766F4C">
        <w:rPr>
          <w:rFonts w:cs="Times New Roman"/>
        </w:rPr>
        <w:t>data</w:t>
      </w:r>
      <w:r w:rsidR="003D1245">
        <w:rPr>
          <w:rFonts w:cs="Times New Roman"/>
        </w:rPr>
        <w:t xml:space="preserve">, </w:t>
      </w:r>
      <w:r w:rsidR="00766F4C" w:rsidRPr="00766F4C">
        <w:rPr>
          <w:rFonts w:cs="Times New Roman"/>
        </w:rPr>
        <w:t xml:space="preserve">information </w:t>
      </w:r>
      <w:r w:rsidR="003D1245">
        <w:rPr>
          <w:rFonts w:cs="Times New Roman"/>
        </w:rPr>
        <w:t>and project administration.</w:t>
      </w:r>
      <w:r w:rsidR="00766F4C" w:rsidRPr="00766F4C">
        <w:rPr>
          <w:rFonts w:cs="Times New Roman"/>
        </w:rPr>
        <w:t xml:space="preserve"> </w:t>
      </w:r>
    </w:p>
    <w:p w14:paraId="7E33FA29" w14:textId="77777777" w:rsidR="00766F4C" w:rsidRPr="00766F4C" w:rsidRDefault="00766F4C" w:rsidP="00766F4C">
      <w:pPr>
        <w:spacing w:after="0"/>
        <w:rPr>
          <w:rFonts w:cs="Times New Roman"/>
        </w:rPr>
      </w:pPr>
    </w:p>
    <w:p w14:paraId="2B10F440" w14:textId="77777777" w:rsidR="00766F4C" w:rsidRPr="005C1577" w:rsidRDefault="001E5917" w:rsidP="00937C30">
      <w:pPr>
        <w:pStyle w:val="ListParagraph"/>
        <w:numPr>
          <w:ilvl w:val="1"/>
          <w:numId w:val="8"/>
        </w:numPr>
        <w:ind w:left="720"/>
        <w:rPr>
          <w:rFonts w:cs="Times New Roman"/>
        </w:rPr>
      </w:pPr>
      <w:r>
        <w:rPr>
          <w:rFonts w:cs="Times New Roman"/>
        </w:rPr>
        <w:t>Rate of p</w:t>
      </w:r>
      <w:r w:rsidR="00766F4C" w:rsidRPr="005C1577">
        <w:rPr>
          <w:rFonts w:cs="Times New Roman"/>
        </w:rPr>
        <w:t>ay</w:t>
      </w:r>
    </w:p>
    <w:p w14:paraId="447710BE" w14:textId="0C227BB4" w:rsidR="00766F4C" w:rsidRDefault="00DD65F6" w:rsidP="00766F4C">
      <w:pPr>
        <w:spacing w:after="0"/>
        <w:rPr>
          <w:rFonts w:cs="Times New Roman"/>
        </w:rPr>
      </w:pPr>
      <w:r>
        <w:rPr>
          <w:rFonts w:cs="Times New Roman"/>
        </w:rPr>
        <w:t>These</w:t>
      </w:r>
      <w:r w:rsidR="00766F4C" w:rsidRPr="00766F4C">
        <w:rPr>
          <w:rFonts w:cs="Times New Roman"/>
        </w:rPr>
        <w:t xml:space="preserve"> roles </w:t>
      </w:r>
      <w:r w:rsidR="00984660">
        <w:rPr>
          <w:rFonts w:cs="Times New Roman"/>
        </w:rPr>
        <w:t>are</w:t>
      </w:r>
      <w:r w:rsidR="00766F4C" w:rsidRPr="00766F4C">
        <w:rPr>
          <w:rFonts w:cs="Times New Roman"/>
        </w:rPr>
        <w:t xml:space="preserve"> reviewed against the University’s </w:t>
      </w:r>
      <w:r w:rsidR="00766F4C">
        <w:rPr>
          <w:rFonts w:cs="Times New Roman"/>
        </w:rPr>
        <w:t>A</w:t>
      </w:r>
      <w:r>
        <w:rPr>
          <w:rFonts w:cs="Times New Roman"/>
        </w:rPr>
        <w:t xml:space="preserve">dministrative, Professional </w:t>
      </w:r>
      <w:r w:rsidR="00596126">
        <w:rPr>
          <w:rFonts w:cs="Times New Roman"/>
        </w:rPr>
        <w:t>&amp;</w:t>
      </w:r>
      <w:r>
        <w:rPr>
          <w:rFonts w:cs="Times New Roman"/>
        </w:rPr>
        <w:t xml:space="preserve"> Managerial </w:t>
      </w:r>
      <w:r w:rsidR="00766F4C" w:rsidRPr="00766F4C">
        <w:rPr>
          <w:rFonts w:cs="Times New Roman"/>
        </w:rPr>
        <w:t xml:space="preserve">job family to determine the level of the role. </w:t>
      </w:r>
      <w:r w:rsidR="005C1577">
        <w:rPr>
          <w:rFonts w:cs="Times New Roman"/>
        </w:rPr>
        <w:t xml:space="preserve">Pay rates </w:t>
      </w:r>
      <w:r w:rsidR="00984660">
        <w:rPr>
          <w:rFonts w:cs="Times New Roman"/>
        </w:rPr>
        <w:t>are</w:t>
      </w:r>
      <w:r w:rsidR="005C1577">
        <w:rPr>
          <w:rFonts w:cs="Times New Roman"/>
        </w:rPr>
        <w:t xml:space="preserve"> calculated from the first point of the appropriate level. </w:t>
      </w:r>
      <w:r w:rsidR="00984660">
        <w:rPr>
          <w:rFonts w:cs="Times New Roman"/>
        </w:rPr>
        <w:t>Univ</w:t>
      </w:r>
      <w:r w:rsidR="00E550BC">
        <w:rPr>
          <w:rFonts w:cs="Times New Roman"/>
        </w:rPr>
        <w:t xml:space="preserve">ersity </w:t>
      </w:r>
      <w:r w:rsidR="00984660">
        <w:rPr>
          <w:rFonts w:cs="Times New Roman"/>
        </w:rPr>
        <w:t>p</w:t>
      </w:r>
      <w:r w:rsidR="005C1577">
        <w:rPr>
          <w:rFonts w:cs="Times New Roman"/>
        </w:rPr>
        <w:t xml:space="preserve">ay rates </w:t>
      </w:r>
      <w:r w:rsidR="00984660">
        <w:rPr>
          <w:rFonts w:cs="Times New Roman"/>
        </w:rPr>
        <w:t>are</w:t>
      </w:r>
      <w:r w:rsidR="005C1577">
        <w:rPr>
          <w:rFonts w:cs="Times New Roman"/>
        </w:rPr>
        <w:t xml:space="preserve"> reviewed each year.</w:t>
      </w:r>
    </w:p>
    <w:p w14:paraId="26CA2C88" w14:textId="77777777" w:rsidR="00766F4C" w:rsidRPr="00766F4C" w:rsidRDefault="00766F4C" w:rsidP="00766F4C">
      <w:pPr>
        <w:spacing w:after="0"/>
        <w:rPr>
          <w:rFonts w:cs="Times New Roman"/>
        </w:rPr>
      </w:pPr>
    </w:p>
    <w:p w14:paraId="351B1946" w14:textId="77777777" w:rsidR="00766F4C" w:rsidRPr="005C1577" w:rsidRDefault="00FD6F96" w:rsidP="00937C30">
      <w:pPr>
        <w:pStyle w:val="ListParagraph"/>
        <w:numPr>
          <w:ilvl w:val="1"/>
          <w:numId w:val="8"/>
        </w:numPr>
        <w:ind w:left="720"/>
        <w:rPr>
          <w:rFonts w:cs="Times New Roman"/>
        </w:rPr>
      </w:pPr>
      <w:r>
        <w:rPr>
          <w:rFonts w:cs="Times New Roman"/>
        </w:rPr>
        <w:t>E</w:t>
      </w:r>
      <w:r w:rsidR="00766F4C" w:rsidRPr="005C1577">
        <w:rPr>
          <w:rFonts w:cs="Times New Roman"/>
        </w:rPr>
        <w:t>ngagement</w:t>
      </w:r>
    </w:p>
    <w:p w14:paraId="6BA57149" w14:textId="5D24A514" w:rsidR="00766F4C" w:rsidRDefault="003D1245" w:rsidP="005C1577">
      <w:pPr>
        <w:spacing w:after="0"/>
        <w:rPr>
          <w:rFonts w:cs="Times New Roman"/>
        </w:rPr>
      </w:pPr>
      <w:r>
        <w:rPr>
          <w:rFonts w:cs="Times New Roman"/>
        </w:rPr>
        <w:t>Normally</w:t>
      </w:r>
      <w:r w:rsidR="005C1577">
        <w:rPr>
          <w:rFonts w:cs="Times New Roman"/>
        </w:rPr>
        <w:t xml:space="preserve"> administered through </w:t>
      </w:r>
      <w:proofErr w:type="spellStart"/>
      <w:r w:rsidR="005C1577">
        <w:rPr>
          <w:rFonts w:cs="Times New Roman"/>
        </w:rPr>
        <w:t>Unitemps</w:t>
      </w:r>
      <w:proofErr w:type="spellEnd"/>
      <w:r w:rsidR="00766F4C" w:rsidRPr="005C1577">
        <w:rPr>
          <w:rFonts w:cs="Times New Roman"/>
        </w:rPr>
        <w:t>.</w:t>
      </w:r>
    </w:p>
    <w:p w14:paraId="44F7FC13" w14:textId="77777777" w:rsidR="005C1577" w:rsidRPr="005C1577" w:rsidRDefault="005C1577" w:rsidP="005C1577">
      <w:pPr>
        <w:spacing w:after="0"/>
        <w:rPr>
          <w:rFonts w:cs="Times New Roman"/>
        </w:rPr>
      </w:pPr>
    </w:p>
    <w:p w14:paraId="788E36CC" w14:textId="77777777" w:rsidR="005C1577" w:rsidRPr="00692411" w:rsidRDefault="005C1577" w:rsidP="00937C30">
      <w:pPr>
        <w:pStyle w:val="Heading1"/>
        <w:ind w:left="357" w:hanging="357"/>
      </w:pPr>
      <w:bookmarkStart w:id="3" w:name="Demonstrators"/>
      <w:bookmarkEnd w:id="3"/>
      <w:r w:rsidRPr="00692411">
        <w:t>Demonstrators</w:t>
      </w:r>
    </w:p>
    <w:p w14:paraId="02D91E68" w14:textId="488A2F02" w:rsidR="005C1577" w:rsidRPr="005C1577" w:rsidRDefault="00596126" w:rsidP="005C1577">
      <w:pPr>
        <w:spacing w:after="0"/>
        <w:rPr>
          <w:rFonts w:cs="Times New Roman"/>
        </w:rPr>
      </w:pPr>
      <w:r>
        <w:rPr>
          <w:rFonts w:cs="Times New Roman"/>
        </w:rPr>
        <w:t>P</w:t>
      </w:r>
      <w:r w:rsidR="00985629" w:rsidRPr="00DD65F6">
        <w:rPr>
          <w:rFonts w:cs="Times New Roman"/>
        </w:rPr>
        <w:t>rovide basic assistance</w:t>
      </w:r>
      <w:r w:rsidR="00AD07C0">
        <w:rPr>
          <w:rFonts w:cs="Times New Roman"/>
        </w:rPr>
        <w:t xml:space="preserve"> and support in a l</w:t>
      </w:r>
      <w:r w:rsidR="00985629" w:rsidRPr="00DD65F6">
        <w:rPr>
          <w:rFonts w:cs="Times New Roman"/>
        </w:rPr>
        <w:t xml:space="preserve">aboratory, practical </w:t>
      </w:r>
      <w:r w:rsidR="00AD07C0">
        <w:rPr>
          <w:rFonts w:cs="Times New Roman"/>
        </w:rPr>
        <w:t xml:space="preserve">session or </w:t>
      </w:r>
      <w:r w:rsidR="00985629" w:rsidRPr="00DD65F6">
        <w:rPr>
          <w:rFonts w:cs="Times New Roman"/>
        </w:rPr>
        <w:t>field work</w:t>
      </w:r>
      <w:r w:rsidR="00AD07C0">
        <w:rPr>
          <w:rFonts w:cs="Times New Roman"/>
        </w:rPr>
        <w:t xml:space="preserve"> activity</w:t>
      </w:r>
      <w:r>
        <w:rPr>
          <w:rFonts w:cs="Times New Roman"/>
        </w:rPr>
        <w:t>, for example.</w:t>
      </w:r>
    </w:p>
    <w:p w14:paraId="5E703DA4" w14:textId="77777777" w:rsidR="005C1577" w:rsidRDefault="005C1577" w:rsidP="005C1577">
      <w:pPr>
        <w:pStyle w:val="ListParagraph"/>
        <w:spacing w:after="0"/>
        <w:rPr>
          <w:rFonts w:cs="Times New Roman"/>
        </w:rPr>
      </w:pPr>
    </w:p>
    <w:p w14:paraId="12F9AFD3" w14:textId="77777777" w:rsidR="005C1577" w:rsidRPr="005C1577" w:rsidRDefault="001E5917" w:rsidP="00937C30">
      <w:pPr>
        <w:pStyle w:val="ListParagraph"/>
        <w:numPr>
          <w:ilvl w:val="1"/>
          <w:numId w:val="8"/>
        </w:numPr>
        <w:ind w:left="720"/>
        <w:rPr>
          <w:rFonts w:cs="Times New Roman"/>
        </w:rPr>
      </w:pPr>
      <w:r>
        <w:rPr>
          <w:rFonts w:cs="Times New Roman"/>
        </w:rPr>
        <w:t>Rate of pay</w:t>
      </w:r>
    </w:p>
    <w:p w14:paraId="0FDAE3B5" w14:textId="145172D9" w:rsidR="005C1577" w:rsidRPr="005C1577" w:rsidRDefault="00AD07C0" w:rsidP="005C1577">
      <w:pPr>
        <w:spacing w:after="0"/>
        <w:rPr>
          <w:rFonts w:cs="Times New Roman"/>
        </w:rPr>
      </w:pPr>
      <w:r>
        <w:rPr>
          <w:rFonts w:cs="Times New Roman"/>
        </w:rPr>
        <w:t>T</w:t>
      </w:r>
      <w:r w:rsidR="005C1577" w:rsidRPr="005C1577">
        <w:rPr>
          <w:rFonts w:cs="Times New Roman"/>
        </w:rPr>
        <w:t>he University’s standard Demonst</w:t>
      </w:r>
      <w:r w:rsidR="001E5917">
        <w:rPr>
          <w:rFonts w:cs="Times New Roman"/>
        </w:rPr>
        <w:t>rator rate</w:t>
      </w:r>
      <w:r w:rsidR="005C1577" w:rsidRPr="005C1577">
        <w:rPr>
          <w:rFonts w:cs="Times New Roman"/>
        </w:rPr>
        <w:t>.</w:t>
      </w:r>
      <w:r w:rsidR="005C1577">
        <w:rPr>
          <w:rFonts w:cs="Times New Roman"/>
        </w:rPr>
        <w:t xml:space="preserve"> </w:t>
      </w:r>
      <w:r>
        <w:rPr>
          <w:rFonts w:cs="Times New Roman"/>
        </w:rPr>
        <w:t>University pay rates are reviewed each year</w:t>
      </w:r>
      <w:r w:rsidR="005C1577">
        <w:rPr>
          <w:rFonts w:cs="Times New Roman"/>
        </w:rPr>
        <w:t>.</w:t>
      </w:r>
    </w:p>
    <w:p w14:paraId="5B5E571E" w14:textId="77777777" w:rsidR="005C1577" w:rsidRDefault="005C1577" w:rsidP="005C1577">
      <w:pPr>
        <w:pStyle w:val="ListParagraph"/>
        <w:spacing w:after="0"/>
        <w:rPr>
          <w:rFonts w:cs="Times New Roman"/>
        </w:rPr>
      </w:pPr>
    </w:p>
    <w:p w14:paraId="4D40F4DC" w14:textId="77777777" w:rsidR="005C1577" w:rsidRPr="00FD6F96" w:rsidRDefault="00FD6F96" w:rsidP="00937C30">
      <w:pPr>
        <w:pStyle w:val="ListParagraph"/>
        <w:numPr>
          <w:ilvl w:val="1"/>
          <w:numId w:val="8"/>
        </w:numPr>
        <w:ind w:left="720"/>
        <w:rPr>
          <w:rFonts w:cs="Times New Roman"/>
        </w:rPr>
      </w:pPr>
      <w:r>
        <w:rPr>
          <w:rFonts w:cs="Times New Roman"/>
        </w:rPr>
        <w:t>E</w:t>
      </w:r>
      <w:r w:rsidR="005C1577" w:rsidRPr="005C1577">
        <w:rPr>
          <w:rFonts w:cs="Times New Roman"/>
        </w:rPr>
        <w:t>ngagement</w:t>
      </w:r>
    </w:p>
    <w:p w14:paraId="4FFE8964" w14:textId="3DBE1367" w:rsidR="005C1577" w:rsidRDefault="00AD07C0" w:rsidP="005C1577">
      <w:pPr>
        <w:spacing w:after="0"/>
        <w:rPr>
          <w:rFonts w:cs="Times New Roman"/>
        </w:rPr>
      </w:pPr>
      <w:r>
        <w:rPr>
          <w:rFonts w:cs="Times New Roman"/>
        </w:rPr>
        <w:t>A</w:t>
      </w:r>
      <w:r w:rsidR="005C1577">
        <w:rPr>
          <w:rFonts w:cs="Times New Roman"/>
        </w:rPr>
        <w:t xml:space="preserve">dministered through </w:t>
      </w:r>
      <w:r w:rsidR="00BA3CEE">
        <w:rPr>
          <w:rFonts w:cs="Times New Roman"/>
        </w:rPr>
        <w:t>HR</w:t>
      </w:r>
      <w:r w:rsidR="005C1577">
        <w:rPr>
          <w:rFonts w:cs="Times New Roman"/>
        </w:rPr>
        <w:t>.</w:t>
      </w:r>
    </w:p>
    <w:p w14:paraId="72E9A9A0" w14:textId="77777777" w:rsidR="005C1577" w:rsidRDefault="005C1577" w:rsidP="005C1577">
      <w:pPr>
        <w:spacing w:after="0"/>
        <w:rPr>
          <w:rFonts w:cs="Times New Roman"/>
        </w:rPr>
      </w:pPr>
    </w:p>
    <w:p w14:paraId="091D5956" w14:textId="675B18E4" w:rsidR="005C1577" w:rsidRDefault="005C1577" w:rsidP="00937C30">
      <w:pPr>
        <w:pStyle w:val="Heading1"/>
        <w:ind w:left="357" w:hanging="357"/>
      </w:pPr>
      <w:bookmarkStart w:id="4" w:name="InstrumentTutors"/>
      <w:bookmarkEnd w:id="4"/>
      <w:r w:rsidRPr="00350CD1">
        <w:t>Instrumental Tutors</w:t>
      </w:r>
      <w:r w:rsidR="00410ED1">
        <w:t>/Workshop Accompanists</w:t>
      </w:r>
    </w:p>
    <w:p w14:paraId="45F8F59C" w14:textId="77777777" w:rsidR="005C1577" w:rsidRDefault="005C1577" w:rsidP="005C1577">
      <w:pPr>
        <w:spacing w:after="0"/>
        <w:rPr>
          <w:rFonts w:cs="Times New Roman"/>
        </w:rPr>
      </w:pPr>
      <w:r w:rsidRPr="005C1577">
        <w:rPr>
          <w:rFonts w:cs="Times New Roman"/>
        </w:rPr>
        <w:lastRenderedPageBreak/>
        <w:t>Instrumental Tutors provide progressive instrumental teaching appropriate to the student’s needs and capabilities. Instrumental Tutors are able to demonstrate in lessons and teach to a high standard of proficiency within the tutor’s own specialism.</w:t>
      </w:r>
    </w:p>
    <w:p w14:paraId="2CD6DAB7" w14:textId="77777777" w:rsidR="00410ED1" w:rsidRDefault="00410ED1" w:rsidP="005C1577">
      <w:pPr>
        <w:spacing w:after="0"/>
        <w:rPr>
          <w:rFonts w:cs="Times New Roman"/>
        </w:rPr>
      </w:pPr>
    </w:p>
    <w:p w14:paraId="499169EF" w14:textId="65271C62" w:rsidR="00410ED1" w:rsidRDefault="00410ED1" w:rsidP="005C1577">
      <w:pPr>
        <w:spacing w:after="0"/>
        <w:rPr>
          <w:rFonts w:cs="Times New Roman"/>
        </w:rPr>
      </w:pPr>
      <w:r w:rsidRPr="0055142D">
        <w:rPr>
          <w:rFonts w:cs="Times New Roman"/>
        </w:rPr>
        <w:t>Workshop Accompanists</w:t>
      </w:r>
      <w:r w:rsidR="0055142D">
        <w:rPr>
          <w:rFonts w:cs="Times New Roman"/>
        </w:rPr>
        <w:t xml:space="preserve"> provide professional-level musical accompaniment to support teaching.</w:t>
      </w:r>
    </w:p>
    <w:p w14:paraId="7AF33271" w14:textId="77777777" w:rsidR="005C1577" w:rsidRPr="005C1577" w:rsidRDefault="005C1577" w:rsidP="005C1577">
      <w:pPr>
        <w:spacing w:after="0"/>
        <w:rPr>
          <w:rFonts w:cs="Times New Roman"/>
        </w:rPr>
      </w:pPr>
    </w:p>
    <w:p w14:paraId="5EE311E9" w14:textId="77777777" w:rsidR="005C1577" w:rsidRPr="005C1577" w:rsidRDefault="001E5917" w:rsidP="00937C30">
      <w:pPr>
        <w:pStyle w:val="ListParagraph"/>
        <w:numPr>
          <w:ilvl w:val="1"/>
          <w:numId w:val="8"/>
        </w:numPr>
        <w:ind w:left="720"/>
        <w:rPr>
          <w:rFonts w:cs="Times New Roman"/>
        </w:rPr>
      </w:pPr>
      <w:r>
        <w:rPr>
          <w:rFonts w:cs="Times New Roman"/>
        </w:rPr>
        <w:t>Rate of pay</w:t>
      </w:r>
    </w:p>
    <w:p w14:paraId="4832F109" w14:textId="38E97A8B" w:rsidR="005C1577" w:rsidRDefault="00596126" w:rsidP="00272123">
      <w:r>
        <w:t>B</w:t>
      </w:r>
      <w:r w:rsidR="00272123">
        <w:t xml:space="preserve">enchmarked against the average hourly rate of pay </w:t>
      </w:r>
      <w:r w:rsidR="00FF6DD1">
        <w:t xml:space="preserve">for </w:t>
      </w:r>
      <w:r w:rsidR="00272123">
        <w:t xml:space="preserve">Instrumental Tutors across the UK provided by the Incorporated Society of Musicians </w:t>
      </w:r>
      <w:r>
        <w:t xml:space="preserve">and </w:t>
      </w:r>
      <w:r w:rsidR="00272123">
        <w:t xml:space="preserve">the rate of pay </w:t>
      </w:r>
      <w:r>
        <w:t>of other</w:t>
      </w:r>
      <w:r w:rsidR="00272123">
        <w:t xml:space="preserve"> universities. </w:t>
      </w:r>
    </w:p>
    <w:p w14:paraId="6555B47E" w14:textId="77777777" w:rsidR="005C1577" w:rsidRDefault="00FD6F96" w:rsidP="00937C30">
      <w:pPr>
        <w:pStyle w:val="ListParagraph"/>
        <w:numPr>
          <w:ilvl w:val="1"/>
          <w:numId w:val="8"/>
        </w:numPr>
        <w:ind w:left="720"/>
        <w:rPr>
          <w:rFonts w:cs="Times New Roman"/>
        </w:rPr>
      </w:pPr>
      <w:r>
        <w:rPr>
          <w:rFonts w:cs="Times New Roman"/>
        </w:rPr>
        <w:t>E</w:t>
      </w:r>
      <w:r w:rsidR="005C1577" w:rsidRPr="005C1577">
        <w:rPr>
          <w:rFonts w:cs="Times New Roman"/>
        </w:rPr>
        <w:t>ngagement</w:t>
      </w:r>
    </w:p>
    <w:p w14:paraId="23FA37E4" w14:textId="1436FACC" w:rsidR="005C1577" w:rsidRPr="005C1577" w:rsidRDefault="00BE3744" w:rsidP="005C1577">
      <w:pPr>
        <w:spacing w:after="0"/>
        <w:rPr>
          <w:rFonts w:cs="Times New Roman"/>
        </w:rPr>
      </w:pPr>
      <w:r>
        <w:rPr>
          <w:rFonts w:cs="Times New Roman"/>
        </w:rPr>
        <w:t xml:space="preserve">Self-employed Instrument Tutors </w:t>
      </w:r>
      <w:r w:rsidR="00984660">
        <w:rPr>
          <w:rFonts w:cs="Times New Roman"/>
        </w:rPr>
        <w:t>are</w:t>
      </w:r>
      <w:r>
        <w:rPr>
          <w:rFonts w:cs="Times New Roman"/>
        </w:rPr>
        <w:t xml:space="preserve"> paid on receipt of invoice in line with University practice and timescales. </w:t>
      </w:r>
      <w:r w:rsidR="00E02952">
        <w:rPr>
          <w:rFonts w:cs="Times New Roman"/>
        </w:rPr>
        <w:t xml:space="preserve">The </w:t>
      </w:r>
      <w:r w:rsidR="00E02952" w:rsidRPr="005C1577">
        <w:rPr>
          <w:rFonts w:cs="Times New Roman"/>
        </w:rPr>
        <w:t xml:space="preserve">casual engagement </w:t>
      </w:r>
      <w:r w:rsidR="00E02952">
        <w:rPr>
          <w:rFonts w:cs="Times New Roman"/>
        </w:rPr>
        <w:t xml:space="preserve">for non-self-employed </w:t>
      </w:r>
      <w:r w:rsidR="005C1577">
        <w:rPr>
          <w:rFonts w:cs="Times New Roman"/>
        </w:rPr>
        <w:t>Instrumental Tutors</w:t>
      </w:r>
      <w:r w:rsidR="005C1577" w:rsidRPr="005C1577">
        <w:rPr>
          <w:rFonts w:cs="Times New Roman"/>
        </w:rPr>
        <w:t xml:space="preserve"> </w:t>
      </w:r>
      <w:r w:rsidR="00596126">
        <w:rPr>
          <w:rFonts w:cs="Times New Roman"/>
        </w:rPr>
        <w:t>is</w:t>
      </w:r>
      <w:r w:rsidR="005C1577" w:rsidRPr="005C1577">
        <w:rPr>
          <w:rFonts w:cs="Times New Roman"/>
        </w:rPr>
        <w:t xml:space="preserve"> administered through </w:t>
      </w:r>
      <w:r w:rsidR="00BA3CEE">
        <w:rPr>
          <w:rFonts w:cs="Times New Roman"/>
        </w:rPr>
        <w:t>HR</w:t>
      </w:r>
      <w:r w:rsidR="005C1577" w:rsidRPr="005C1577">
        <w:rPr>
          <w:rFonts w:cs="Times New Roman"/>
        </w:rPr>
        <w:t>.</w:t>
      </w:r>
      <w:r w:rsidR="005C1577">
        <w:rPr>
          <w:rFonts w:cs="Times New Roman"/>
        </w:rPr>
        <w:t xml:space="preserve"> </w:t>
      </w:r>
    </w:p>
    <w:p w14:paraId="513EF1CE" w14:textId="77777777" w:rsidR="005C1577" w:rsidRDefault="005C1577" w:rsidP="005C1577">
      <w:pPr>
        <w:spacing w:after="0"/>
        <w:rPr>
          <w:rFonts w:cs="Times New Roman"/>
        </w:rPr>
      </w:pPr>
    </w:p>
    <w:p w14:paraId="76CF4CB7" w14:textId="77777777" w:rsidR="001E5917" w:rsidRDefault="001E5917" w:rsidP="00937C30">
      <w:pPr>
        <w:pStyle w:val="Heading1"/>
        <w:ind w:left="357" w:hanging="357"/>
      </w:pPr>
      <w:bookmarkStart w:id="5" w:name="ResearchAffiliates"/>
      <w:bookmarkEnd w:id="5"/>
      <w:r w:rsidRPr="001627BD">
        <w:t>Research Affiliates</w:t>
      </w:r>
    </w:p>
    <w:p w14:paraId="09BF035E" w14:textId="12EAAD78" w:rsidR="001E5917" w:rsidRDefault="001E5917" w:rsidP="001E5917">
      <w:pPr>
        <w:spacing w:after="0"/>
      </w:pPr>
      <w:r>
        <w:t xml:space="preserve">Research Affiliates </w:t>
      </w:r>
      <w:r w:rsidR="00984660">
        <w:t>are</w:t>
      </w:r>
      <w:r>
        <w:t xml:space="preserve"> primarily responsible for assisting and supporting </w:t>
      </w:r>
      <w:r w:rsidR="00BD3949">
        <w:t>research activities by undertaking, for example</w:t>
      </w:r>
      <w:r>
        <w:t>:</w:t>
      </w:r>
    </w:p>
    <w:p w14:paraId="7FF0DC6D" w14:textId="77777777" w:rsidR="001E5917" w:rsidRDefault="001E5917" w:rsidP="00D17CCE">
      <w:pPr>
        <w:pStyle w:val="ListParagraph"/>
        <w:numPr>
          <w:ilvl w:val="0"/>
          <w:numId w:val="10"/>
        </w:numPr>
        <w:spacing w:after="0"/>
        <w:ind w:left="714" w:hanging="357"/>
      </w:pPr>
      <w:r>
        <w:t>Literatures searches</w:t>
      </w:r>
    </w:p>
    <w:p w14:paraId="5645330A" w14:textId="77777777" w:rsidR="001E5917" w:rsidRDefault="001E5917" w:rsidP="00D17CCE">
      <w:pPr>
        <w:pStyle w:val="ListParagraph"/>
        <w:numPr>
          <w:ilvl w:val="0"/>
          <w:numId w:val="10"/>
        </w:numPr>
        <w:spacing w:after="0"/>
        <w:ind w:left="714" w:hanging="357"/>
      </w:pPr>
      <w:r>
        <w:t>Developing questionnaires</w:t>
      </w:r>
    </w:p>
    <w:p w14:paraId="37C3E0C6" w14:textId="77777777" w:rsidR="001E5917" w:rsidRDefault="001E5917" w:rsidP="00D17CCE">
      <w:pPr>
        <w:pStyle w:val="ListParagraph"/>
        <w:numPr>
          <w:ilvl w:val="0"/>
          <w:numId w:val="10"/>
        </w:numPr>
        <w:spacing w:after="0"/>
        <w:ind w:left="714" w:hanging="357"/>
      </w:pPr>
      <w:r>
        <w:t>Conducting surveys</w:t>
      </w:r>
    </w:p>
    <w:p w14:paraId="7092D31C" w14:textId="77777777" w:rsidR="001E5917" w:rsidRDefault="001E5917" w:rsidP="00D17CCE">
      <w:pPr>
        <w:pStyle w:val="ListParagraph"/>
        <w:numPr>
          <w:ilvl w:val="0"/>
          <w:numId w:val="10"/>
        </w:numPr>
        <w:spacing w:after="0"/>
        <w:ind w:left="714" w:hanging="357"/>
      </w:pPr>
      <w:r>
        <w:t>Carrying out analyses and tests</w:t>
      </w:r>
    </w:p>
    <w:p w14:paraId="4BB9C871" w14:textId="77777777" w:rsidR="001E5917" w:rsidRDefault="001E5917" w:rsidP="00D17CCE">
      <w:pPr>
        <w:pStyle w:val="ListParagraph"/>
        <w:numPr>
          <w:ilvl w:val="0"/>
          <w:numId w:val="10"/>
        </w:numPr>
        <w:spacing w:after="0"/>
        <w:ind w:left="714" w:hanging="357"/>
      </w:pPr>
      <w:r>
        <w:t>Drafting of reports</w:t>
      </w:r>
    </w:p>
    <w:p w14:paraId="49F627F3" w14:textId="4B4917F5" w:rsidR="00C45CCA" w:rsidRDefault="00C45CCA" w:rsidP="00D17CCE">
      <w:pPr>
        <w:pStyle w:val="ListParagraph"/>
        <w:numPr>
          <w:ilvl w:val="0"/>
          <w:numId w:val="10"/>
        </w:numPr>
        <w:spacing w:after="0"/>
        <w:ind w:left="714" w:hanging="357"/>
      </w:pPr>
      <w:r>
        <w:t>Transcription</w:t>
      </w:r>
      <w:r w:rsidR="00985629">
        <w:t>/Translation</w:t>
      </w:r>
    </w:p>
    <w:p w14:paraId="314B66DA" w14:textId="77777777" w:rsidR="001E5917" w:rsidRDefault="001E5917" w:rsidP="001E5917">
      <w:pPr>
        <w:pStyle w:val="ListParagraph"/>
        <w:spacing w:after="0"/>
        <w:ind w:left="1211"/>
      </w:pPr>
    </w:p>
    <w:p w14:paraId="34B57DD5" w14:textId="77777777" w:rsidR="001E5917" w:rsidRPr="001E5917" w:rsidRDefault="001E5917" w:rsidP="00937C30">
      <w:pPr>
        <w:pStyle w:val="ListParagraph"/>
        <w:numPr>
          <w:ilvl w:val="1"/>
          <w:numId w:val="8"/>
        </w:numPr>
        <w:ind w:left="720"/>
        <w:rPr>
          <w:rFonts w:cs="Times New Roman"/>
        </w:rPr>
      </w:pPr>
      <w:r>
        <w:rPr>
          <w:rFonts w:cs="Times New Roman"/>
        </w:rPr>
        <w:t>Rate of pay</w:t>
      </w:r>
    </w:p>
    <w:p w14:paraId="31A9168B" w14:textId="7DAAA474" w:rsidR="001E5917" w:rsidRDefault="00021E0C" w:rsidP="001E5917">
      <w:pPr>
        <w:spacing w:after="0"/>
      </w:pPr>
      <w:r>
        <w:t>Research Affiliates are positioned within the University’s Research &amp; Teaching job family at level 4a.</w:t>
      </w:r>
      <w:r w:rsidR="00596126" w:rsidRPr="00766F4C">
        <w:rPr>
          <w:rFonts w:cs="Times New Roman"/>
        </w:rPr>
        <w:t xml:space="preserve"> </w:t>
      </w:r>
      <w:r w:rsidR="00596126">
        <w:rPr>
          <w:rFonts w:cs="Times New Roman"/>
        </w:rPr>
        <w:t>Pay rates are calculated from the first point of the appropriate level.</w:t>
      </w:r>
      <w:r w:rsidR="00596126" w:rsidRPr="00596126">
        <w:rPr>
          <w:rFonts w:cs="Times New Roman"/>
        </w:rPr>
        <w:t xml:space="preserve"> </w:t>
      </w:r>
      <w:r w:rsidR="00596126">
        <w:rPr>
          <w:rFonts w:cs="Times New Roman"/>
        </w:rPr>
        <w:t>University pay rates are reviewed each year</w:t>
      </w:r>
      <w:r w:rsidR="00596126">
        <w:t>.</w:t>
      </w:r>
    </w:p>
    <w:p w14:paraId="3ED294E2" w14:textId="77777777" w:rsidR="001E5917" w:rsidRDefault="001E5917" w:rsidP="001E5917">
      <w:pPr>
        <w:spacing w:after="0"/>
      </w:pPr>
    </w:p>
    <w:p w14:paraId="2FA67965" w14:textId="77777777" w:rsidR="001E5917" w:rsidRPr="001E5917" w:rsidRDefault="00FD6F96" w:rsidP="00937C30">
      <w:pPr>
        <w:pStyle w:val="ListParagraph"/>
        <w:numPr>
          <w:ilvl w:val="1"/>
          <w:numId w:val="11"/>
        </w:numPr>
        <w:ind w:left="720"/>
        <w:rPr>
          <w:rFonts w:cs="Times New Roman"/>
        </w:rPr>
      </w:pPr>
      <w:r>
        <w:rPr>
          <w:rFonts w:cs="Times New Roman"/>
        </w:rPr>
        <w:t>E</w:t>
      </w:r>
      <w:r w:rsidR="001E5917" w:rsidRPr="001E5917">
        <w:rPr>
          <w:rFonts w:cs="Times New Roman"/>
        </w:rPr>
        <w:t>ngagement</w:t>
      </w:r>
    </w:p>
    <w:p w14:paraId="208BE29F" w14:textId="2A037EF7" w:rsidR="005C1577" w:rsidRDefault="00596126" w:rsidP="001E5917">
      <w:pPr>
        <w:spacing w:after="0"/>
      </w:pPr>
      <w:r>
        <w:t>A</w:t>
      </w:r>
      <w:r w:rsidR="001E5917" w:rsidRPr="001E5917">
        <w:t xml:space="preserve">dministered through </w:t>
      </w:r>
      <w:r w:rsidR="00BA3CEE">
        <w:t>HR</w:t>
      </w:r>
      <w:r w:rsidR="001E5917" w:rsidRPr="001E5917">
        <w:t>.</w:t>
      </w:r>
    </w:p>
    <w:p w14:paraId="3181B9D1" w14:textId="77777777" w:rsidR="001E5917" w:rsidRPr="001E5917" w:rsidRDefault="001E5917" w:rsidP="001E5917">
      <w:pPr>
        <w:spacing w:after="0"/>
        <w:rPr>
          <w:rStyle w:val="Emphasis"/>
          <w:i w:val="0"/>
          <w:iCs w:val="0"/>
        </w:rPr>
      </w:pPr>
    </w:p>
    <w:p w14:paraId="58C24869" w14:textId="77777777" w:rsidR="001E5917" w:rsidRPr="001E5917" w:rsidRDefault="00B451A2" w:rsidP="00D17CCE">
      <w:pPr>
        <w:pStyle w:val="Heading1"/>
        <w:ind w:left="357" w:hanging="357"/>
        <w:rPr>
          <w:rStyle w:val="Emphasis"/>
          <w:rFonts w:cs="Times New Roman"/>
          <w:i w:val="0"/>
          <w:iCs w:val="0"/>
        </w:rPr>
      </w:pPr>
      <w:bookmarkStart w:id="6" w:name="StudentAmbassadors"/>
      <w:bookmarkEnd w:id="6"/>
      <w:r w:rsidRPr="001E5917">
        <w:rPr>
          <w:rStyle w:val="Emphasis"/>
          <w:i w:val="0"/>
        </w:rPr>
        <w:t>Student Ambassadors</w:t>
      </w:r>
    </w:p>
    <w:p w14:paraId="3060DAE8" w14:textId="77777777" w:rsidR="001E5917" w:rsidRDefault="001E5917" w:rsidP="001E5917">
      <w:pPr>
        <w:spacing w:after="0"/>
      </w:pPr>
      <w:r w:rsidRPr="002C4E11">
        <w:t>Student Ambassa</w:t>
      </w:r>
      <w:r>
        <w:t xml:space="preserve">dors </w:t>
      </w:r>
      <w:r w:rsidRPr="002C4E11">
        <w:t>represent their Department</w:t>
      </w:r>
      <w:r w:rsidR="00BD3949">
        <w:t>/</w:t>
      </w:r>
      <w:r w:rsidRPr="002C4E11">
        <w:t xml:space="preserve">School </w:t>
      </w:r>
      <w:r>
        <w:t xml:space="preserve">at a variety of events and </w:t>
      </w:r>
      <w:r w:rsidRPr="002C4E11">
        <w:t>shar</w:t>
      </w:r>
      <w:r w:rsidR="00BD3949">
        <w:t>e</w:t>
      </w:r>
      <w:r w:rsidRPr="002C4E11">
        <w:t xml:space="preserve"> their experience of studying at Nottingham.</w:t>
      </w:r>
      <w:r>
        <w:t xml:space="preserve"> Such events include (but are not limited to):</w:t>
      </w:r>
    </w:p>
    <w:p w14:paraId="0EBACC4D" w14:textId="77777777" w:rsidR="001E5917" w:rsidRDefault="001E5917" w:rsidP="00D17CCE">
      <w:pPr>
        <w:pStyle w:val="ListParagraph"/>
        <w:numPr>
          <w:ilvl w:val="0"/>
          <w:numId w:val="12"/>
        </w:numPr>
        <w:spacing w:after="0"/>
        <w:ind w:left="714" w:hanging="357"/>
      </w:pPr>
      <w:r>
        <w:t>Open days</w:t>
      </w:r>
    </w:p>
    <w:p w14:paraId="2F3C6D88" w14:textId="77777777" w:rsidR="001E5917" w:rsidRDefault="001E5917" w:rsidP="00D17CCE">
      <w:pPr>
        <w:pStyle w:val="ListParagraph"/>
        <w:numPr>
          <w:ilvl w:val="0"/>
          <w:numId w:val="12"/>
        </w:numPr>
        <w:spacing w:after="0"/>
        <w:ind w:left="714" w:hanging="357"/>
      </w:pPr>
      <w:r>
        <w:t>UCAS visit days</w:t>
      </w:r>
    </w:p>
    <w:p w14:paraId="3C42BFCA" w14:textId="77777777" w:rsidR="001E5917" w:rsidRDefault="001E5917" w:rsidP="00D17CCE">
      <w:pPr>
        <w:pStyle w:val="ListParagraph"/>
        <w:numPr>
          <w:ilvl w:val="0"/>
          <w:numId w:val="12"/>
        </w:numPr>
        <w:spacing w:after="0"/>
        <w:ind w:left="714" w:hanging="357"/>
      </w:pPr>
      <w:r>
        <w:t>May Fest</w:t>
      </w:r>
    </w:p>
    <w:p w14:paraId="79E9C92F" w14:textId="77777777" w:rsidR="001E5917" w:rsidRDefault="001E5917" w:rsidP="001E5917">
      <w:pPr>
        <w:spacing w:after="0"/>
      </w:pPr>
    </w:p>
    <w:p w14:paraId="18D8117A" w14:textId="77777777" w:rsidR="001E5917" w:rsidRDefault="001E5917" w:rsidP="00937C30">
      <w:pPr>
        <w:pStyle w:val="ListParagraph"/>
        <w:numPr>
          <w:ilvl w:val="1"/>
          <w:numId w:val="8"/>
        </w:numPr>
        <w:ind w:left="720"/>
        <w:rPr>
          <w:rFonts w:cs="Times New Roman"/>
        </w:rPr>
      </w:pPr>
      <w:r>
        <w:rPr>
          <w:rFonts w:cs="Times New Roman"/>
        </w:rPr>
        <w:t>Rate of pay</w:t>
      </w:r>
    </w:p>
    <w:p w14:paraId="34234379" w14:textId="79CFBC6B" w:rsidR="00560824" w:rsidRDefault="00596126" w:rsidP="001E5917">
      <w:pPr>
        <w:spacing w:after="0"/>
        <w:rPr>
          <w:rFonts w:cs="Times New Roman"/>
        </w:rPr>
      </w:pPr>
      <w:r>
        <w:rPr>
          <w:rFonts w:cs="Times New Roman"/>
        </w:rPr>
        <w:t>The</w:t>
      </w:r>
      <w:r w:rsidR="00B11187" w:rsidRPr="001E5917">
        <w:rPr>
          <w:rFonts w:cs="Times New Roman"/>
        </w:rPr>
        <w:t xml:space="preserve"> </w:t>
      </w:r>
      <w:r w:rsidR="009E1A99" w:rsidRPr="001E5917">
        <w:rPr>
          <w:rFonts w:cs="Times New Roman"/>
        </w:rPr>
        <w:t xml:space="preserve">University’s </w:t>
      </w:r>
      <w:r w:rsidR="00B11187" w:rsidRPr="001E5917">
        <w:rPr>
          <w:rFonts w:cs="Times New Roman"/>
        </w:rPr>
        <w:t>s</w:t>
      </w:r>
      <w:r w:rsidR="001E5917">
        <w:rPr>
          <w:rFonts w:cs="Times New Roman"/>
        </w:rPr>
        <w:t xml:space="preserve">tandard Student Ambassador </w:t>
      </w:r>
      <w:proofErr w:type="gramStart"/>
      <w:r w:rsidR="001E5917">
        <w:rPr>
          <w:rFonts w:cs="Times New Roman"/>
        </w:rPr>
        <w:t>rate</w:t>
      </w:r>
      <w:proofErr w:type="gramEnd"/>
      <w:r w:rsidR="00B11187" w:rsidRPr="001E5917">
        <w:rPr>
          <w:rFonts w:cs="Times New Roman"/>
        </w:rPr>
        <w:t>.</w:t>
      </w:r>
      <w:r w:rsidR="001E5917">
        <w:rPr>
          <w:rFonts w:cs="Times New Roman"/>
        </w:rPr>
        <w:t xml:space="preserve"> </w:t>
      </w:r>
    </w:p>
    <w:p w14:paraId="47E03DBE" w14:textId="77777777" w:rsidR="001E5917" w:rsidRPr="001E5917" w:rsidRDefault="001E5917" w:rsidP="001E5917">
      <w:pPr>
        <w:spacing w:after="0"/>
        <w:rPr>
          <w:rFonts w:cs="Times New Roman"/>
        </w:rPr>
      </w:pPr>
    </w:p>
    <w:p w14:paraId="00AD7220" w14:textId="77777777" w:rsidR="001E5917" w:rsidRPr="001E5917" w:rsidRDefault="00FD6F96" w:rsidP="00937C30">
      <w:pPr>
        <w:pStyle w:val="ListParagraph"/>
        <w:numPr>
          <w:ilvl w:val="1"/>
          <w:numId w:val="8"/>
        </w:numPr>
        <w:ind w:left="720"/>
        <w:rPr>
          <w:rFonts w:cs="Times New Roman"/>
          <w:u w:val="single"/>
        </w:rPr>
      </w:pPr>
      <w:r>
        <w:rPr>
          <w:rFonts w:cs="Times New Roman"/>
        </w:rPr>
        <w:t>E</w:t>
      </w:r>
      <w:r w:rsidR="00B451A2" w:rsidRPr="001E5917">
        <w:rPr>
          <w:rFonts w:cs="Times New Roman"/>
        </w:rPr>
        <w:t xml:space="preserve">ngagement </w:t>
      </w:r>
    </w:p>
    <w:p w14:paraId="18FFEFC6" w14:textId="2FD4FEE9" w:rsidR="001E5917" w:rsidRDefault="00E02952" w:rsidP="001E5917">
      <w:pPr>
        <w:spacing w:after="0"/>
      </w:pPr>
      <w:r>
        <w:t xml:space="preserve">Normally </w:t>
      </w:r>
      <w:r w:rsidR="001E5917" w:rsidRPr="001E5917">
        <w:t xml:space="preserve">administered through </w:t>
      </w:r>
      <w:proofErr w:type="spellStart"/>
      <w:r w:rsidR="001E5917" w:rsidRPr="001E5917">
        <w:t>Unitemps</w:t>
      </w:r>
      <w:proofErr w:type="spellEnd"/>
      <w:r w:rsidR="00596126">
        <w:t xml:space="preserve"> (but can be HR if the person undertaking the work doesn’t have a </w:t>
      </w:r>
      <w:proofErr w:type="spellStart"/>
      <w:r w:rsidR="00596126">
        <w:t>Unitemps</w:t>
      </w:r>
      <w:proofErr w:type="spellEnd"/>
      <w:r w:rsidR="00596126">
        <w:t xml:space="preserve"> account but has a HR record)</w:t>
      </w:r>
      <w:r w:rsidR="001E5917" w:rsidRPr="001E5917">
        <w:t>.</w:t>
      </w:r>
    </w:p>
    <w:p w14:paraId="2D9E309C" w14:textId="77777777" w:rsidR="001E5917" w:rsidRDefault="001E5917" w:rsidP="001E5917">
      <w:pPr>
        <w:spacing w:after="0"/>
      </w:pPr>
    </w:p>
    <w:p w14:paraId="28BBA00F" w14:textId="77777777" w:rsidR="001E5917" w:rsidRDefault="001E5917" w:rsidP="00937C30">
      <w:pPr>
        <w:pStyle w:val="Heading1"/>
        <w:ind w:left="357" w:hanging="357"/>
      </w:pPr>
      <w:bookmarkStart w:id="7" w:name="TeachingAffiliates"/>
      <w:bookmarkEnd w:id="7"/>
      <w:r w:rsidRPr="005C1AB7">
        <w:t>Teaching Affiliates</w:t>
      </w:r>
    </w:p>
    <w:p w14:paraId="40F8374E" w14:textId="4DCB7E27" w:rsidR="001E5917" w:rsidRDefault="001E5917" w:rsidP="001E5917">
      <w:pPr>
        <w:spacing w:after="0"/>
      </w:pPr>
      <w:r>
        <w:t xml:space="preserve">Teaching Affiliates are engaged to deliver </w:t>
      </w:r>
      <w:r w:rsidR="00E02952">
        <w:t xml:space="preserve">aspects of </w:t>
      </w:r>
      <w:r>
        <w:t>module</w:t>
      </w:r>
      <w:r w:rsidR="00E02952">
        <w:t xml:space="preserve"> delivery</w:t>
      </w:r>
      <w:r>
        <w:t xml:space="preserve"> under supervision. T</w:t>
      </w:r>
      <w:r w:rsidR="00D661E0">
        <w:t>eaching Affiliates</w:t>
      </w:r>
      <w:r>
        <w:t xml:space="preserve"> manage their own activity</w:t>
      </w:r>
      <w:r w:rsidR="00D661E0">
        <w:t xml:space="preserve">, </w:t>
      </w:r>
      <w:r>
        <w:t xml:space="preserve">reflect on practice and development of </w:t>
      </w:r>
      <w:r w:rsidR="00E02952">
        <w:t xml:space="preserve">teaching </w:t>
      </w:r>
      <w:r>
        <w:t>skills</w:t>
      </w:r>
      <w:r w:rsidR="00D661E0">
        <w:t xml:space="preserve"> and </w:t>
      </w:r>
      <w:r>
        <w:t>are required to have an understanding and knowledge of their subject/discipline gained through a degree or equivalent qualification. A Teaching Affiliate’s specific duties include (but are not limited to):</w:t>
      </w:r>
    </w:p>
    <w:p w14:paraId="1F8190B0" w14:textId="77777777" w:rsidR="00BE474D" w:rsidRDefault="001E5917" w:rsidP="00D17CCE">
      <w:pPr>
        <w:pStyle w:val="ListParagraph"/>
        <w:numPr>
          <w:ilvl w:val="0"/>
          <w:numId w:val="13"/>
        </w:numPr>
        <w:spacing w:after="0"/>
        <w:ind w:left="714" w:hanging="357"/>
      </w:pPr>
      <w:r>
        <w:t>Administration</w:t>
      </w:r>
    </w:p>
    <w:p w14:paraId="0D6E70FC" w14:textId="581E08BE" w:rsidR="001E5917" w:rsidRDefault="00BE474D" w:rsidP="00D17CCE">
      <w:pPr>
        <w:pStyle w:val="ListParagraph"/>
        <w:numPr>
          <w:ilvl w:val="0"/>
          <w:numId w:val="13"/>
        </w:numPr>
        <w:spacing w:after="0"/>
        <w:ind w:left="714" w:hanging="357"/>
      </w:pPr>
      <w:r>
        <w:t>O</w:t>
      </w:r>
      <w:r w:rsidR="00D803C8">
        <w:t>ffice hours</w:t>
      </w:r>
      <w:r>
        <w:t xml:space="preserve"> (Teaching Affiliates </w:t>
      </w:r>
      <w:r w:rsidR="004A3657">
        <w:t xml:space="preserve">engaged to deliver seminars across a whole module or are module convenor </w:t>
      </w:r>
      <w:r>
        <w:t xml:space="preserve">should be </w:t>
      </w:r>
      <w:r w:rsidR="004A3657">
        <w:t xml:space="preserve">paid </w:t>
      </w:r>
      <w:r>
        <w:t xml:space="preserve">one hour per week </w:t>
      </w:r>
      <w:r w:rsidR="004A3657">
        <w:t>during that semester</w:t>
      </w:r>
      <w:r w:rsidR="00D803C8">
        <w:t>)</w:t>
      </w:r>
    </w:p>
    <w:p w14:paraId="60F133D5" w14:textId="77777777" w:rsidR="001E5917" w:rsidRDefault="001E5917" w:rsidP="00D17CCE">
      <w:pPr>
        <w:pStyle w:val="ListParagraph"/>
        <w:numPr>
          <w:ilvl w:val="0"/>
          <w:numId w:val="13"/>
        </w:numPr>
        <w:spacing w:after="0"/>
        <w:ind w:left="714" w:hanging="357"/>
      </w:pPr>
      <w:r>
        <w:t>Preparation</w:t>
      </w:r>
    </w:p>
    <w:p w14:paraId="205E6CBD" w14:textId="77777777" w:rsidR="001E5917" w:rsidRDefault="001E5917" w:rsidP="00D17CCE">
      <w:pPr>
        <w:pStyle w:val="ListParagraph"/>
        <w:numPr>
          <w:ilvl w:val="0"/>
          <w:numId w:val="13"/>
        </w:numPr>
        <w:spacing w:after="0"/>
        <w:ind w:left="714" w:hanging="357"/>
      </w:pPr>
      <w:r>
        <w:t>Teaching</w:t>
      </w:r>
    </w:p>
    <w:p w14:paraId="617E59E3" w14:textId="7AF09AAB" w:rsidR="001E5917" w:rsidRPr="00937C30" w:rsidRDefault="001E5917" w:rsidP="00D17CCE">
      <w:pPr>
        <w:pStyle w:val="ListParagraph"/>
        <w:numPr>
          <w:ilvl w:val="0"/>
          <w:numId w:val="13"/>
        </w:numPr>
        <w:spacing w:after="0"/>
        <w:ind w:left="714" w:hanging="357"/>
      </w:pPr>
      <w:r w:rsidRPr="00937C30">
        <w:t>Assessment</w:t>
      </w:r>
      <w:r w:rsidR="00D803C8" w:rsidRPr="00937C30">
        <w:t xml:space="preserve"> (</w:t>
      </w:r>
      <w:r w:rsidR="00D661E0">
        <w:t xml:space="preserve">including </w:t>
      </w:r>
      <w:r w:rsidR="00D803C8" w:rsidRPr="00937C30">
        <w:t>form</w:t>
      </w:r>
      <w:r w:rsidR="00937C30">
        <w:t xml:space="preserve">ative </w:t>
      </w:r>
      <w:r w:rsidR="00D661E0">
        <w:t xml:space="preserve">if </w:t>
      </w:r>
      <w:r w:rsidR="00937C30">
        <w:t>specified in course/module specification)</w:t>
      </w:r>
    </w:p>
    <w:p w14:paraId="0D3A51EF" w14:textId="77777777" w:rsidR="00D661E0" w:rsidRDefault="00D661E0" w:rsidP="00480A9D">
      <w:pPr>
        <w:pStyle w:val="ListParagraph"/>
        <w:spacing w:after="0"/>
        <w:ind w:left="0"/>
      </w:pPr>
    </w:p>
    <w:p w14:paraId="10E155DE" w14:textId="12B38D24" w:rsidR="004C2B3D" w:rsidRDefault="00D661E0" w:rsidP="00480A9D">
      <w:pPr>
        <w:pStyle w:val="ListParagraph"/>
        <w:spacing w:after="0"/>
        <w:ind w:left="0"/>
      </w:pPr>
      <w:r>
        <w:t>MA students are not normally engaged as Teaching Affiliates.</w:t>
      </w:r>
    </w:p>
    <w:p w14:paraId="1165E59D" w14:textId="77777777" w:rsidR="00D661E0" w:rsidRDefault="00D661E0" w:rsidP="00480A9D">
      <w:pPr>
        <w:pStyle w:val="ListParagraph"/>
        <w:spacing w:after="0"/>
        <w:ind w:left="0"/>
        <w:rPr>
          <w:b/>
        </w:rPr>
      </w:pPr>
    </w:p>
    <w:p w14:paraId="2E505B66" w14:textId="5D52EF39" w:rsidR="00D90FC8" w:rsidRPr="00ED59D1" w:rsidRDefault="00D90FC8" w:rsidP="00480A9D">
      <w:pPr>
        <w:pStyle w:val="ListParagraph"/>
        <w:spacing w:after="0"/>
        <w:ind w:left="0"/>
        <w:rPr>
          <w:b/>
        </w:rPr>
      </w:pPr>
      <w:r w:rsidRPr="00ED59D1">
        <w:rPr>
          <w:b/>
        </w:rPr>
        <w:t xml:space="preserve">Head of School approval is </w:t>
      </w:r>
      <w:r w:rsidR="00ED59D1">
        <w:rPr>
          <w:b/>
        </w:rPr>
        <w:t xml:space="preserve">required </w:t>
      </w:r>
      <w:r w:rsidRPr="00ED59D1">
        <w:rPr>
          <w:b/>
        </w:rPr>
        <w:t xml:space="preserve">for a Teaching Affiliate to </w:t>
      </w:r>
      <w:r w:rsidR="004A3657" w:rsidRPr="00ED59D1">
        <w:rPr>
          <w:b/>
        </w:rPr>
        <w:t>be module convenor</w:t>
      </w:r>
      <w:r w:rsidRPr="00ED59D1">
        <w:rPr>
          <w:b/>
        </w:rPr>
        <w:t>.</w:t>
      </w:r>
    </w:p>
    <w:p w14:paraId="343EAC72" w14:textId="77777777" w:rsidR="00D90FC8" w:rsidRDefault="00D90FC8" w:rsidP="00480A9D">
      <w:pPr>
        <w:pStyle w:val="ListParagraph"/>
        <w:spacing w:after="0"/>
        <w:ind w:left="0"/>
      </w:pPr>
    </w:p>
    <w:p w14:paraId="4ED49E9B" w14:textId="6FD33EF3" w:rsidR="00DC18BD" w:rsidRDefault="00ED59D1" w:rsidP="00480A9D">
      <w:pPr>
        <w:pStyle w:val="ListParagraph"/>
        <w:spacing w:after="0"/>
        <w:ind w:left="0"/>
      </w:pPr>
      <w:r w:rsidRPr="00ED59D1">
        <w:rPr>
          <w:b/>
        </w:rPr>
        <w:t xml:space="preserve">Head of School approval is </w:t>
      </w:r>
      <w:r>
        <w:rPr>
          <w:b/>
        </w:rPr>
        <w:t xml:space="preserve">required </w:t>
      </w:r>
      <w:r w:rsidRPr="00ED59D1">
        <w:rPr>
          <w:b/>
        </w:rPr>
        <w:t xml:space="preserve">for a Teaching Affiliate to </w:t>
      </w:r>
      <w:r>
        <w:rPr>
          <w:b/>
        </w:rPr>
        <w:t xml:space="preserve">create new </w:t>
      </w:r>
      <w:r w:rsidR="0062599E">
        <w:rPr>
          <w:b/>
        </w:rPr>
        <w:t>content for lecture</w:t>
      </w:r>
      <w:r w:rsidR="000B3A8F">
        <w:rPr>
          <w:b/>
        </w:rPr>
        <w:t>s/</w:t>
      </w:r>
      <w:r w:rsidR="0062599E">
        <w:rPr>
          <w:b/>
        </w:rPr>
        <w:t>module</w:t>
      </w:r>
      <w:r w:rsidR="000B3A8F">
        <w:rPr>
          <w:b/>
        </w:rPr>
        <w:t>s</w:t>
      </w:r>
      <w:r>
        <w:t xml:space="preserve">. </w:t>
      </w:r>
      <w:r w:rsidR="00C87E00">
        <w:t>C</w:t>
      </w:r>
      <w:r w:rsidR="00DC18BD">
        <w:t xml:space="preserve">reating new content </w:t>
      </w:r>
      <w:r w:rsidR="0062599E">
        <w:t xml:space="preserve">for delivery </w:t>
      </w:r>
      <w:r w:rsidR="0062689C">
        <w:t xml:space="preserve">in a lecture </w:t>
      </w:r>
      <w:r w:rsidR="0062599E">
        <w:t>is not normally part of the Teaching Affiliate</w:t>
      </w:r>
      <w:r w:rsidR="0062599E" w:rsidRPr="004C2B3D">
        <w:t xml:space="preserve"> </w:t>
      </w:r>
      <w:r w:rsidR="0062599E">
        <w:t>role</w:t>
      </w:r>
      <w:r w:rsidR="0062689C">
        <w:t>. C</w:t>
      </w:r>
      <w:r w:rsidR="0062599E">
        <w:t xml:space="preserve">reating new content </w:t>
      </w:r>
      <w:r w:rsidR="0062689C">
        <w:t xml:space="preserve">is defined </w:t>
      </w:r>
      <w:r w:rsidR="0062599E">
        <w:t xml:space="preserve">as writing a new lecture or completely rewriting an existing </w:t>
      </w:r>
      <w:r w:rsidR="0062689C">
        <w:t>lecture</w:t>
      </w:r>
      <w:r w:rsidR="0062599E">
        <w:t xml:space="preserve"> to incorporate a </w:t>
      </w:r>
      <w:r w:rsidR="0062689C">
        <w:t xml:space="preserve">significant and </w:t>
      </w:r>
      <w:r w:rsidR="0062599E">
        <w:t xml:space="preserve">substantial amount of new material; refreshing an existing module </w:t>
      </w:r>
      <w:r w:rsidR="0062689C">
        <w:t xml:space="preserve">before </w:t>
      </w:r>
      <w:r w:rsidR="0062599E">
        <w:t>delivery is not considered to be creating new content</w:t>
      </w:r>
      <w:r w:rsidR="00DC18BD">
        <w:t xml:space="preserve">. </w:t>
      </w:r>
      <w:r w:rsidR="00BB44CC">
        <w:t xml:space="preserve">On the rare occasion it </w:t>
      </w:r>
      <w:r w:rsidR="00C87E00">
        <w:t>may</w:t>
      </w:r>
      <w:r w:rsidR="009F2A62">
        <w:t xml:space="preserve"> be required, </w:t>
      </w:r>
      <w:r w:rsidR="00160051">
        <w:t xml:space="preserve">in advance of making the casual engagement </w:t>
      </w:r>
      <w:r w:rsidR="009F2A62">
        <w:t xml:space="preserve">a case must be made to the </w:t>
      </w:r>
      <w:r w:rsidR="00DC18BD">
        <w:t xml:space="preserve">Head of School </w:t>
      </w:r>
      <w:r w:rsidR="009F2A62">
        <w:t xml:space="preserve">using the </w:t>
      </w:r>
      <w:hyperlink r:id="rId12" w:history="1">
        <w:r w:rsidR="009F2A62" w:rsidRPr="009F2A62">
          <w:rPr>
            <w:rStyle w:val="Hyperlink"/>
          </w:rPr>
          <w:t>approval request form</w:t>
        </w:r>
      </w:hyperlink>
      <w:r w:rsidR="009F2A62">
        <w:t xml:space="preserve"> and approval </w:t>
      </w:r>
      <w:r w:rsidR="004A3657">
        <w:t>obtained</w:t>
      </w:r>
      <w:r w:rsidR="009F2A62">
        <w:t>.</w:t>
      </w:r>
    </w:p>
    <w:p w14:paraId="4B51383C" w14:textId="77777777" w:rsidR="009F2A62" w:rsidRDefault="009F2A62" w:rsidP="00480A9D">
      <w:pPr>
        <w:pStyle w:val="ListParagraph"/>
        <w:spacing w:after="0"/>
        <w:ind w:left="0"/>
      </w:pPr>
    </w:p>
    <w:p w14:paraId="05E73722" w14:textId="747985D0" w:rsidR="009F2A62" w:rsidRDefault="009F2A62" w:rsidP="00480A9D">
      <w:pPr>
        <w:pStyle w:val="ListParagraph"/>
        <w:spacing w:after="0"/>
        <w:ind w:left="0"/>
      </w:pPr>
      <w:r>
        <w:t xml:space="preserve">The </w:t>
      </w:r>
      <w:hyperlink r:id="rId13" w:history="1">
        <w:r w:rsidRPr="009211F7">
          <w:rPr>
            <w:rStyle w:val="Hyperlink"/>
          </w:rPr>
          <w:t>Faculty Code of Practice</w:t>
        </w:r>
      </w:hyperlink>
      <w:r>
        <w:t xml:space="preserve"> outlines </w:t>
      </w:r>
      <w:r w:rsidR="004A3657">
        <w:t xml:space="preserve">the responsibilities of </w:t>
      </w:r>
      <w:r w:rsidR="009211F7">
        <w:t>academic staff work</w:t>
      </w:r>
      <w:r w:rsidR="004A3657">
        <w:t>ing</w:t>
      </w:r>
      <w:r w:rsidR="009211F7">
        <w:t xml:space="preserve"> with Teaching Affiliates.</w:t>
      </w:r>
      <w:r w:rsidR="00BB44CC">
        <w:t xml:space="preserve"> </w:t>
      </w:r>
      <w:r w:rsidR="004C2B3D">
        <w:t xml:space="preserve">If Teaching Affiliates </w:t>
      </w:r>
      <w:r w:rsidR="00BB44CC" w:rsidRPr="004C2B3D">
        <w:t xml:space="preserve">have any concerns about the work </w:t>
      </w:r>
      <w:r w:rsidR="004C2B3D">
        <w:t xml:space="preserve">they </w:t>
      </w:r>
      <w:r w:rsidR="00BB44CC" w:rsidRPr="004C2B3D">
        <w:t xml:space="preserve">are being asked to do, in the first instance </w:t>
      </w:r>
      <w:r w:rsidR="004C2B3D">
        <w:t xml:space="preserve">they should </w:t>
      </w:r>
      <w:r w:rsidR="00BB44CC" w:rsidRPr="004C2B3D">
        <w:t xml:space="preserve">speak to </w:t>
      </w:r>
      <w:r w:rsidR="004C2B3D">
        <w:t>the</w:t>
      </w:r>
      <w:r w:rsidR="00BB44CC" w:rsidRPr="004C2B3D">
        <w:t xml:space="preserve"> Module Convenor, Teaching Affiliate Coordinator</w:t>
      </w:r>
      <w:r w:rsidR="004C2B3D">
        <w:t xml:space="preserve"> (English)</w:t>
      </w:r>
      <w:r w:rsidR="00BB44CC" w:rsidRPr="004C2B3D">
        <w:t>, Departmental Director of Teaching or Head of Department</w:t>
      </w:r>
      <w:r w:rsidR="004D6D8F">
        <w:t xml:space="preserve"> as appropriate</w:t>
      </w:r>
      <w:r w:rsidR="00BB44CC" w:rsidRPr="004C2B3D">
        <w:t xml:space="preserve">. If </w:t>
      </w:r>
      <w:r w:rsidR="004C2B3D">
        <w:t xml:space="preserve">this does not result in </w:t>
      </w:r>
      <w:r w:rsidR="004D6D8F">
        <w:t>resolution</w:t>
      </w:r>
      <w:r w:rsidR="004C2B3D">
        <w:t xml:space="preserve">, </w:t>
      </w:r>
      <w:r w:rsidR="00BB44CC" w:rsidRPr="004C2B3D">
        <w:t>please contact the Head of School, School Director of Teaching or Faculty Operations Manager</w:t>
      </w:r>
      <w:r w:rsidR="004C2B3D">
        <w:t xml:space="preserve"> based in the School</w:t>
      </w:r>
      <w:r w:rsidR="00BB44CC" w:rsidRPr="004C2B3D">
        <w:t>.</w:t>
      </w:r>
    </w:p>
    <w:p w14:paraId="334BAADB" w14:textId="77777777" w:rsidR="00E564F6" w:rsidRPr="001E5917" w:rsidRDefault="00E564F6" w:rsidP="001E5917">
      <w:pPr>
        <w:pStyle w:val="ListParagraph"/>
        <w:spacing w:after="0"/>
      </w:pPr>
    </w:p>
    <w:p w14:paraId="2D1870B2" w14:textId="5F649C06" w:rsidR="001E5917" w:rsidRPr="001E5917" w:rsidRDefault="001E5917" w:rsidP="00937C30">
      <w:pPr>
        <w:pStyle w:val="ListParagraph"/>
        <w:numPr>
          <w:ilvl w:val="1"/>
          <w:numId w:val="8"/>
        </w:numPr>
        <w:ind w:left="720"/>
        <w:rPr>
          <w:rFonts w:cs="Times New Roman"/>
          <w:u w:val="single"/>
        </w:rPr>
      </w:pPr>
      <w:r w:rsidRPr="001E5917">
        <w:rPr>
          <w:rFonts w:cs="Times New Roman"/>
        </w:rPr>
        <w:t>Rate of pay</w:t>
      </w:r>
      <w:r w:rsidR="00FA6BBF">
        <w:rPr>
          <w:rFonts w:cs="Times New Roman"/>
        </w:rPr>
        <w:t>/allocations</w:t>
      </w:r>
    </w:p>
    <w:p w14:paraId="1EF70EDD" w14:textId="77777777" w:rsidR="00D803C8" w:rsidRDefault="00D803C8" w:rsidP="00D803C8">
      <w:pPr>
        <w:pStyle w:val="ListParagraph"/>
        <w:spacing w:after="0"/>
      </w:pPr>
    </w:p>
    <w:p w14:paraId="1DA82E90" w14:textId="77777777" w:rsidR="0064576F" w:rsidRDefault="0064576F" w:rsidP="00FA6BBF">
      <w:pPr>
        <w:pStyle w:val="ListParagraph"/>
        <w:numPr>
          <w:ilvl w:val="0"/>
          <w:numId w:val="25"/>
        </w:numPr>
        <w:spacing w:after="0"/>
      </w:pPr>
      <w:r>
        <w:t xml:space="preserve">The skills, qualifications and/or experience of someone engaged </w:t>
      </w:r>
      <w:r w:rsidR="00BB01DE">
        <w:t>as a Teaching Affiliate</w:t>
      </w:r>
      <w:r>
        <w:t xml:space="preserve"> on a casual basis have no bearing on the rate of pay.</w:t>
      </w:r>
    </w:p>
    <w:p w14:paraId="062A40DF" w14:textId="77777777" w:rsidR="00D17CCE" w:rsidRDefault="003D1245" w:rsidP="00D17CCE">
      <w:pPr>
        <w:pStyle w:val="ListParagraph"/>
        <w:numPr>
          <w:ilvl w:val="0"/>
          <w:numId w:val="24"/>
        </w:numPr>
        <w:spacing w:after="0"/>
        <w:ind w:left="714" w:hanging="357"/>
      </w:pPr>
      <w:r>
        <w:t>Teaching Affiliates initially fall within the Research &amp; T</w:t>
      </w:r>
      <w:r w:rsidR="00D803C8">
        <w:t>eaching job family at level 4a.</w:t>
      </w:r>
    </w:p>
    <w:p w14:paraId="15A5A17C" w14:textId="0B68F9B3" w:rsidR="00D17CCE" w:rsidRDefault="00D17CCE" w:rsidP="00D17CCE">
      <w:pPr>
        <w:pStyle w:val="ListParagraph"/>
        <w:numPr>
          <w:ilvl w:val="0"/>
          <w:numId w:val="24"/>
        </w:numPr>
        <w:spacing w:after="0"/>
        <w:ind w:left="714" w:hanging="357"/>
      </w:pPr>
      <w:r>
        <w:lastRenderedPageBreak/>
        <w:t xml:space="preserve">Where the Head of School has approved that a Teaching Affiliate is the </w:t>
      </w:r>
      <w:r w:rsidRPr="009C119B">
        <w:rPr>
          <w:b/>
        </w:rPr>
        <w:t>module convenor</w:t>
      </w:r>
      <w:r>
        <w:t>, the rate of pay</w:t>
      </w:r>
      <w:r w:rsidR="00CF3C73">
        <w:t xml:space="preserve"> for that module</w:t>
      </w:r>
      <w:r>
        <w:t xml:space="preserve"> is level 4.</w:t>
      </w:r>
    </w:p>
    <w:p w14:paraId="4DBA50F0" w14:textId="0ACEE4E7" w:rsidR="00D17CCE" w:rsidRDefault="00D17CCE" w:rsidP="00D17CCE">
      <w:pPr>
        <w:pStyle w:val="ListParagraph"/>
        <w:numPr>
          <w:ilvl w:val="0"/>
          <w:numId w:val="24"/>
        </w:numPr>
        <w:spacing w:after="0"/>
        <w:ind w:left="714" w:hanging="357"/>
      </w:pPr>
      <w:r w:rsidRPr="009C119B">
        <w:rPr>
          <w:b/>
        </w:rPr>
        <w:t>Office hours</w:t>
      </w:r>
      <w:r w:rsidR="004C19A0">
        <w:t xml:space="preserve">: </w:t>
      </w:r>
      <w:r>
        <w:t xml:space="preserve">one hour per week </w:t>
      </w:r>
      <w:r w:rsidR="00CF3C73">
        <w:t>per semester</w:t>
      </w:r>
      <w:r w:rsidR="000B3A8F">
        <w:t>, paid either at Level 4a rate where a Teaching Affiliate is engaged to deliver seminars across a whole module or a</w:t>
      </w:r>
      <w:r>
        <w:t>t Level 4</w:t>
      </w:r>
      <w:r w:rsidR="000B3A8F">
        <w:t xml:space="preserve"> rate</w:t>
      </w:r>
      <w:r>
        <w:t xml:space="preserve"> </w:t>
      </w:r>
      <w:r w:rsidR="000B3A8F">
        <w:t xml:space="preserve">if the </w:t>
      </w:r>
      <w:r>
        <w:t>Teaching Affiliate is</w:t>
      </w:r>
      <w:r w:rsidR="000B3A8F">
        <w:t xml:space="preserve"> convening a module</w:t>
      </w:r>
      <w:r w:rsidR="001A1D15">
        <w:t xml:space="preserve"> during the semester</w:t>
      </w:r>
      <w:r>
        <w:t>.</w:t>
      </w:r>
      <w:r w:rsidR="004C19A0">
        <w:t xml:space="preserve"> </w:t>
      </w:r>
      <w:r w:rsidR="000B3A8F">
        <w:t xml:space="preserve">Maximum </w:t>
      </w:r>
      <w:r w:rsidR="004C19A0">
        <w:t xml:space="preserve">allocation is one hour </w:t>
      </w:r>
      <w:r w:rsidR="000B3A8F">
        <w:t xml:space="preserve">per week regardless of </w:t>
      </w:r>
      <w:r w:rsidR="001A1D15">
        <w:t xml:space="preserve">the number of </w:t>
      </w:r>
      <w:r w:rsidR="004C19A0">
        <w:t>module</w:t>
      </w:r>
      <w:r w:rsidR="000B3A8F">
        <w:t>s</w:t>
      </w:r>
      <w:r w:rsidR="004C19A0">
        <w:t xml:space="preserve"> or </w:t>
      </w:r>
      <w:r w:rsidR="000B3A8F">
        <w:t>seminar groups</w:t>
      </w:r>
      <w:r w:rsidR="004C19A0">
        <w:t>.</w:t>
      </w:r>
    </w:p>
    <w:p w14:paraId="6FCE8DE1" w14:textId="522A6BFD" w:rsidR="00D803C8" w:rsidRDefault="00D17CCE" w:rsidP="00D17CCE">
      <w:pPr>
        <w:pStyle w:val="ListParagraph"/>
        <w:numPr>
          <w:ilvl w:val="0"/>
          <w:numId w:val="24"/>
        </w:numPr>
        <w:spacing w:after="0"/>
        <w:ind w:left="714" w:hanging="357"/>
      </w:pPr>
      <w:r>
        <w:t xml:space="preserve">Where the Head of School has approved </w:t>
      </w:r>
      <w:r w:rsidR="00160051">
        <w:t xml:space="preserve">that a Teaching Affiliate create </w:t>
      </w:r>
      <w:r w:rsidR="00160051" w:rsidRPr="000B3A8F">
        <w:rPr>
          <w:b/>
        </w:rPr>
        <w:t>new content</w:t>
      </w:r>
      <w:r w:rsidR="00160051">
        <w:t>, a one-off</w:t>
      </w:r>
      <w:r>
        <w:t xml:space="preserve"> payment will be </w:t>
      </w:r>
      <w:r w:rsidR="00160051">
        <w:t xml:space="preserve">made </w:t>
      </w:r>
      <w:r>
        <w:t>at level 4.</w:t>
      </w:r>
    </w:p>
    <w:p w14:paraId="6E9D87E6" w14:textId="17699340" w:rsidR="00346674" w:rsidRDefault="004D6D8F" w:rsidP="00D17CCE">
      <w:pPr>
        <w:pStyle w:val="ListParagraph"/>
        <w:numPr>
          <w:ilvl w:val="0"/>
          <w:numId w:val="24"/>
        </w:numPr>
        <w:spacing w:after="0"/>
        <w:ind w:left="714" w:hanging="357"/>
      </w:pPr>
      <w:r>
        <w:t xml:space="preserve">Where a Teaching Affiliate is required by the School to attend an </w:t>
      </w:r>
      <w:r w:rsidRPr="009C119B">
        <w:rPr>
          <w:b/>
        </w:rPr>
        <w:t>induction</w:t>
      </w:r>
      <w:r>
        <w:t xml:space="preserve"> session the rate of pay is level 4a regardless of the specific hourly rate of pay for any other casual engagement</w:t>
      </w:r>
      <w:r w:rsidR="00D17CCE">
        <w:t>.</w:t>
      </w:r>
    </w:p>
    <w:p w14:paraId="74DA24E6" w14:textId="2CC3A3A5" w:rsidR="00297DEA" w:rsidRPr="00822779" w:rsidRDefault="009C119B" w:rsidP="007A511A">
      <w:pPr>
        <w:pStyle w:val="ListParagraph"/>
        <w:numPr>
          <w:ilvl w:val="0"/>
          <w:numId w:val="24"/>
        </w:numPr>
        <w:spacing w:after="0"/>
      </w:pPr>
      <w:r w:rsidRPr="00822779">
        <w:rPr>
          <w:b/>
        </w:rPr>
        <w:t>Evening Class l</w:t>
      </w:r>
      <w:r w:rsidR="00297DEA" w:rsidRPr="00822779">
        <w:rPr>
          <w:b/>
        </w:rPr>
        <w:t>anguage tuition</w:t>
      </w:r>
      <w:r w:rsidRPr="00822779">
        <w:t xml:space="preserve"> is paid </w:t>
      </w:r>
      <w:r w:rsidR="00297DEA" w:rsidRPr="00822779">
        <w:t>a</w:t>
      </w:r>
      <w:r w:rsidRPr="00822779">
        <w:t xml:space="preserve">t level 4 rate to </w:t>
      </w:r>
      <w:r w:rsidR="00297DEA" w:rsidRPr="00822779">
        <w:t xml:space="preserve">account for the </w:t>
      </w:r>
      <w:r w:rsidR="00B93629" w:rsidRPr="00822779">
        <w:t xml:space="preserve">level of autonomy required to </w:t>
      </w:r>
      <w:r w:rsidR="00297DEA" w:rsidRPr="00822779">
        <w:t>administer</w:t>
      </w:r>
      <w:r w:rsidR="00B93629" w:rsidRPr="00822779">
        <w:t xml:space="preserve"> and teach </w:t>
      </w:r>
      <w:r w:rsidR="00297DEA" w:rsidRPr="00822779">
        <w:t>these classes</w:t>
      </w:r>
      <w:r w:rsidR="00B93629" w:rsidRPr="00822779">
        <w:t>.</w:t>
      </w:r>
      <w:r w:rsidR="00CF3C73">
        <w:t xml:space="preserve"> </w:t>
      </w:r>
      <w:r w:rsidR="001A1D15">
        <w:t xml:space="preserve">For </w:t>
      </w:r>
      <w:r w:rsidR="001A1D15">
        <w:rPr>
          <w:b/>
        </w:rPr>
        <w:t>pr</w:t>
      </w:r>
      <w:r w:rsidR="00CF3C73" w:rsidRPr="00CF3C73">
        <w:rPr>
          <w:b/>
        </w:rPr>
        <w:t>eparation</w:t>
      </w:r>
      <w:r w:rsidR="001A1D15">
        <w:t>, payment of one</w:t>
      </w:r>
      <w:r w:rsidR="001A1D15" w:rsidRPr="00605E5F">
        <w:t xml:space="preserve"> hour per hour </w:t>
      </w:r>
      <w:r w:rsidR="001A1D15">
        <w:t xml:space="preserve">for is made for the first time of </w:t>
      </w:r>
      <w:r w:rsidR="001A1D15" w:rsidRPr="00605E5F">
        <w:t>delivery</w:t>
      </w:r>
      <w:r w:rsidR="001A1D15">
        <w:t xml:space="preserve"> only, contact time is paid for repeat delivery/</w:t>
      </w:r>
      <w:proofErr w:type="spellStart"/>
      <w:r w:rsidR="001A1D15">
        <w:t>ies</w:t>
      </w:r>
      <w:proofErr w:type="spellEnd"/>
      <w:r w:rsidR="001A1D15">
        <w:t xml:space="preserve"> of the session</w:t>
      </w:r>
      <w:r w:rsidR="00CF3C73">
        <w:t>.</w:t>
      </w:r>
    </w:p>
    <w:p w14:paraId="72F087A5" w14:textId="0990288B" w:rsidR="00CF3C73" w:rsidRDefault="009C119B" w:rsidP="00B33FB9">
      <w:pPr>
        <w:pStyle w:val="ListParagraph"/>
        <w:numPr>
          <w:ilvl w:val="0"/>
          <w:numId w:val="24"/>
        </w:numPr>
        <w:spacing w:after="0"/>
      </w:pPr>
      <w:r w:rsidRPr="00822779">
        <w:rPr>
          <w:b/>
        </w:rPr>
        <w:t>All other language provision</w:t>
      </w:r>
      <w:r w:rsidRPr="00822779">
        <w:t xml:space="preserve"> is paid at level 4a. </w:t>
      </w:r>
      <w:r w:rsidR="001A1D15">
        <w:t xml:space="preserve">For </w:t>
      </w:r>
      <w:r w:rsidR="001A1D15">
        <w:rPr>
          <w:b/>
        </w:rPr>
        <w:t>p</w:t>
      </w:r>
      <w:r w:rsidR="00A87E44" w:rsidRPr="00CF3C73">
        <w:rPr>
          <w:b/>
        </w:rPr>
        <w:t>reparation</w:t>
      </w:r>
      <w:r w:rsidR="001A1D15">
        <w:rPr>
          <w:b/>
        </w:rPr>
        <w:t>,</w:t>
      </w:r>
      <w:r w:rsidR="001A1D15">
        <w:t xml:space="preserve"> </w:t>
      </w:r>
      <w:r w:rsidR="000B3A8F">
        <w:t xml:space="preserve">payment of </w:t>
      </w:r>
      <w:r w:rsidR="00A87E44">
        <w:t>one</w:t>
      </w:r>
      <w:r w:rsidR="00A87E44" w:rsidRPr="00605E5F">
        <w:t xml:space="preserve"> hour per hour </w:t>
      </w:r>
      <w:r w:rsidR="00A87E44">
        <w:t xml:space="preserve">for </w:t>
      </w:r>
      <w:r w:rsidR="001A1D15">
        <w:t xml:space="preserve">is made for </w:t>
      </w:r>
      <w:r w:rsidR="00A87E44">
        <w:t xml:space="preserve">the first </w:t>
      </w:r>
      <w:r w:rsidR="000B3A8F">
        <w:t xml:space="preserve">time of </w:t>
      </w:r>
      <w:r w:rsidR="00A87E44" w:rsidRPr="00605E5F">
        <w:t>delivery</w:t>
      </w:r>
      <w:r w:rsidR="00A87E44">
        <w:t xml:space="preserve"> only, contact time </w:t>
      </w:r>
      <w:r w:rsidR="000B3A8F">
        <w:t xml:space="preserve">is </w:t>
      </w:r>
      <w:r w:rsidR="00A87E44">
        <w:t>paid for repeat delivery/</w:t>
      </w:r>
      <w:proofErr w:type="spellStart"/>
      <w:r w:rsidR="00A87E44">
        <w:t>ies</w:t>
      </w:r>
      <w:proofErr w:type="spellEnd"/>
      <w:r w:rsidR="000B3A8F">
        <w:t xml:space="preserve"> of the session</w:t>
      </w:r>
      <w:r w:rsidR="00A87E44">
        <w:t>. In addition a</w:t>
      </w:r>
      <w:r w:rsidRPr="00822779">
        <w:t xml:space="preserve">n allocation </w:t>
      </w:r>
      <w:r w:rsidR="00FA6BBF" w:rsidRPr="00822779">
        <w:t xml:space="preserve">equivalent to one hour per hour of contact time </w:t>
      </w:r>
      <w:r w:rsidRPr="00822779">
        <w:t xml:space="preserve">at </w:t>
      </w:r>
      <w:r w:rsidR="00FA6BBF" w:rsidRPr="00822779">
        <w:t xml:space="preserve">level 4a is made </w:t>
      </w:r>
      <w:r w:rsidR="00822779">
        <w:t xml:space="preserve">for each language teaching hour requiring regular assessment activity, e.g. </w:t>
      </w:r>
      <w:r w:rsidR="00FA6BBF" w:rsidRPr="00822779">
        <w:t xml:space="preserve">where regular </w:t>
      </w:r>
      <w:r w:rsidR="00822779">
        <w:t>marking of exercises and/or short writing pieces submitted by students. In practice, this applies to grammar and writing hours</w:t>
      </w:r>
      <w:r w:rsidR="00A87E44">
        <w:t xml:space="preserve"> rather than conversation hours</w:t>
      </w:r>
      <w:r w:rsidR="00CF3C73">
        <w:t>.</w:t>
      </w:r>
    </w:p>
    <w:p w14:paraId="6869B786" w14:textId="6A221E01" w:rsidR="001A1D15" w:rsidRPr="001A1D15" w:rsidRDefault="001A1D15" w:rsidP="00B33FB9">
      <w:pPr>
        <w:pStyle w:val="ListParagraph"/>
        <w:numPr>
          <w:ilvl w:val="0"/>
          <w:numId w:val="24"/>
        </w:numPr>
        <w:spacing w:after="0"/>
      </w:pPr>
      <w:r w:rsidRPr="001A1D15">
        <w:t>Please see teaching norms for all allocations</w:t>
      </w:r>
    </w:p>
    <w:p w14:paraId="6FC67713" w14:textId="77777777" w:rsidR="001E5917" w:rsidRDefault="001E5917" w:rsidP="001E5917">
      <w:pPr>
        <w:spacing w:after="0"/>
      </w:pPr>
    </w:p>
    <w:p w14:paraId="2BD306EB" w14:textId="77777777" w:rsidR="0064576F" w:rsidRDefault="00BB01DE" w:rsidP="004D6D8F">
      <w:pPr>
        <w:pStyle w:val="ListParagraph"/>
        <w:numPr>
          <w:ilvl w:val="1"/>
          <w:numId w:val="8"/>
        </w:numPr>
        <w:ind w:left="720"/>
      </w:pPr>
      <w:r>
        <w:t>S</w:t>
      </w:r>
      <w:r w:rsidR="0064576F">
        <w:t>upervision</w:t>
      </w:r>
    </w:p>
    <w:p w14:paraId="59BD3851" w14:textId="41D23CFE" w:rsidR="0064576F" w:rsidRDefault="0064576F" w:rsidP="0064576F">
      <w:r>
        <w:t>Teaching Affiliates engaged to provide P</w:t>
      </w:r>
      <w:r w:rsidR="00127362">
        <w:t xml:space="preserve">hD supervision </w:t>
      </w:r>
      <w:r w:rsidR="00984660">
        <w:t>are</w:t>
      </w:r>
      <w:r w:rsidR="00127362">
        <w:t xml:space="preserve"> paid at L</w:t>
      </w:r>
      <w:r>
        <w:t>evel 5.</w:t>
      </w:r>
      <w:r w:rsidR="00BB01DE">
        <w:t xml:space="preserve"> </w:t>
      </w:r>
      <w:r w:rsidR="00127362">
        <w:t xml:space="preserve">Those engaged to provide </w:t>
      </w:r>
      <w:r w:rsidR="00BB01DE">
        <w:t xml:space="preserve">MA supervision </w:t>
      </w:r>
      <w:r w:rsidR="00984660">
        <w:t>are</w:t>
      </w:r>
      <w:r w:rsidR="00127362">
        <w:t xml:space="preserve"> paid </w:t>
      </w:r>
      <w:r w:rsidR="00BB01DE">
        <w:t>at Level 4.</w:t>
      </w:r>
    </w:p>
    <w:p w14:paraId="4B265830" w14:textId="77777777" w:rsidR="001E5917" w:rsidRDefault="001E5917" w:rsidP="004D6D8F">
      <w:pPr>
        <w:pStyle w:val="ListParagraph"/>
        <w:numPr>
          <w:ilvl w:val="1"/>
          <w:numId w:val="8"/>
        </w:numPr>
        <w:ind w:left="720"/>
      </w:pPr>
      <w:r>
        <w:t>Teaching norms</w:t>
      </w:r>
    </w:p>
    <w:p w14:paraId="1911FE55" w14:textId="77777777" w:rsidR="00272123" w:rsidRDefault="001E5917" w:rsidP="001E5917">
      <w:pPr>
        <w:spacing w:after="0"/>
      </w:pPr>
      <w:r>
        <w:t xml:space="preserve">The Faculty of Arts teaching norms </w:t>
      </w:r>
      <w:r w:rsidR="00B93629">
        <w:t xml:space="preserve">specify the </w:t>
      </w:r>
      <w:r>
        <w:t xml:space="preserve">amount of time </w:t>
      </w:r>
      <w:r w:rsidR="00B93629">
        <w:t>allocated to each activity</w:t>
      </w:r>
      <w:r>
        <w:t xml:space="preserve">. </w:t>
      </w:r>
      <w:r w:rsidR="00FA620C">
        <w:t xml:space="preserve">Please contact the </w:t>
      </w:r>
      <w:r w:rsidR="00BB01DE">
        <w:t xml:space="preserve">Director of </w:t>
      </w:r>
      <w:r w:rsidR="00FA620C">
        <w:t xml:space="preserve">Faculty </w:t>
      </w:r>
      <w:r w:rsidR="00BB01DE">
        <w:t>Operations</w:t>
      </w:r>
      <w:r w:rsidR="00FA620C">
        <w:t xml:space="preserve"> if a</w:t>
      </w:r>
      <w:r w:rsidR="00BB01DE">
        <w:t xml:space="preserve">n </w:t>
      </w:r>
      <w:r w:rsidR="00FA620C">
        <w:t>ac</w:t>
      </w:r>
      <w:r w:rsidRPr="00FA620C">
        <w:t xml:space="preserve">tivity </w:t>
      </w:r>
      <w:r w:rsidR="00FA620C">
        <w:t xml:space="preserve">is </w:t>
      </w:r>
      <w:r w:rsidRPr="00FA620C">
        <w:t xml:space="preserve">not </w:t>
      </w:r>
      <w:r w:rsidR="00FA620C">
        <w:t>listed</w:t>
      </w:r>
      <w:r>
        <w:t>.</w:t>
      </w:r>
    </w:p>
    <w:p w14:paraId="6256D500" w14:textId="77777777" w:rsidR="00272123" w:rsidRDefault="00272123" w:rsidP="00272123">
      <w:pPr>
        <w:pStyle w:val="ListParagraph"/>
        <w:ind w:left="1146"/>
      </w:pPr>
    </w:p>
    <w:p w14:paraId="38363DD6" w14:textId="5894EDD1" w:rsidR="00272123" w:rsidRDefault="003D004C" w:rsidP="004D6D8F">
      <w:pPr>
        <w:pStyle w:val="ListParagraph"/>
        <w:numPr>
          <w:ilvl w:val="1"/>
          <w:numId w:val="8"/>
        </w:numPr>
        <w:ind w:left="720"/>
      </w:pPr>
      <w:r>
        <w:t xml:space="preserve">Annual </w:t>
      </w:r>
      <w:r w:rsidR="00272123">
        <w:t>Expression of Interest</w:t>
      </w:r>
      <w:r w:rsidR="00E02952">
        <w:t xml:space="preserve"> (</w:t>
      </w:r>
      <w:proofErr w:type="spellStart"/>
      <w:r w:rsidR="00E02952">
        <w:t>EoI</w:t>
      </w:r>
      <w:proofErr w:type="spellEnd"/>
      <w:r w:rsidR="00E02952">
        <w:t>)</w:t>
      </w:r>
      <w:r>
        <w:t xml:space="preserve"> call</w:t>
      </w:r>
    </w:p>
    <w:p w14:paraId="08CF74DB" w14:textId="5FD5411B" w:rsidR="00610AEB" w:rsidRDefault="00D90FC8" w:rsidP="00FD6F96">
      <w:pPr>
        <w:spacing w:after="0"/>
      </w:pPr>
      <w:r>
        <w:t>Annually, S</w:t>
      </w:r>
      <w:r w:rsidR="00E02952">
        <w:t>chool</w:t>
      </w:r>
      <w:r w:rsidR="003D004C">
        <w:t>s</w:t>
      </w:r>
      <w:r w:rsidR="0012566C">
        <w:t xml:space="preserve"> in the Faculty</w:t>
      </w:r>
      <w:r w:rsidR="00E02952">
        <w:t xml:space="preserve"> will make an </w:t>
      </w:r>
      <w:proofErr w:type="spellStart"/>
      <w:r w:rsidR="007E4F0E">
        <w:t>EoI</w:t>
      </w:r>
      <w:proofErr w:type="spellEnd"/>
      <w:r w:rsidR="00E02952">
        <w:t xml:space="preserve"> </w:t>
      </w:r>
      <w:r w:rsidR="0012566C">
        <w:t xml:space="preserve">call </w:t>
      </w:r>
      <w:r w:rsidR="00127362">
        <w:t>i</w:t>
      </w:r>
      <w:r w:rsidR="00162D0E">
        <w:t>nvit</w:t>
      </w:r>
      <w:r w:rsidR="00127362">
        <w:t xml:space="preserve">ing those </w:t>
      </w:r>
      <w:r w:rsidR="00BD3949">
        <w:t>interested in w</w:t>
      </w:r>
      <w:r w:rsidR="00E02952">
        <w:t xml:space="preserve">orking </w:t>
      </w:r>
      <w:r w:rsidR="00162D0E">
        <w:t xml:space="preserve">as a Teaching Affiliate in the forthcoming academic year </w:t>
      </w:r>
      <w:r w:rsidR="00BD3949">
        <w:t>to submit an Expression of Interest (</w:t>
      </w:r>
      <w:proofErr w:type="spellStart"/>
      <w:r w:rsidR="00BD3949">
        <w:t>EoI</w:t>
      </w:r>
      <w:proofErr w:type="spellEnd"/>
      <w:r w:rsidR="00BD3949">
        <w:t xml:space="preserve">) </w:t>
      </w:r>
      <w:r w:rsidR="00CA61B0">
        <w:t>and</w:t>
      </w:r>
      <w:r w:rsidR="009D496F">
        <w:t xml:space="preserve"> their CV </w:t>
      </w:r>
      <w:r w:rsidR="00BD3949">
        <w:t>to the relevant Head of Department</w:t>
      </w:r>
      <w:r w:rsidR="007E16F9">
        <w:t xml:space="preserve"> or nominee/</w:t>
      </w:r>
      <w:r w:rsidR="00BD3949">
        <w:t>Teaching Affiliate Co-ordi</w:t>
      </w:r>
      <w:r w:rsidR="00610AEB">
        <w:t>nator (School of English only).</w:t>
      </w:r>
    </w:p>
    <w:p w14:paraId="59DBE6F6" w14:textId="77777777" w:rsidR="00610AEB" w:rsidRDefault="00610AEB" w:rsidP="00FD6F96">
      <w:pPr>
        <w:spacing w:after="0"/>
      </w:pPr>
    </w:p>
    <w:p w14:paraId="13EF169B" w14:textId="19C29BB3" w:rsidR="001E5917" w:rsidRDefault="00BD3949" w:rsidP="00FD6F96">
      <w:pPr>
        <w:spacing w:after="0"/>
      </w:pPr>
      <w:r>
        <w:t xml:space="preserve">If the prospective Teaching Affiliate is a PhD student, this form must be signed by a supervisor to indicate </w:t>
      </w:r>
      <w:r w:rsidR="00162D0E">
        <w:t>supervisor</w:t>
      </w:r>
      <w:r>
        <w:t xml:space="preserve"> approval of the </w:t>
      </w:r>
      <w:proofErr w:type="spellStart"/>
      <w:r>
        <w:t>EoI</w:t>
      </w:r>
      <w:proofErr w:type="spellEnd"/>
      <w:r w:rsidR="001E5917">
        <w:t>.</w:t>
      </w:r>
    </w:p>
    <w:p w14:paraId="5643064F" w14:textId="77777777" w:rsidR="00FD6F96" w:rsidRDefault="00FD6F96" w:rsidP="00FD6F96">
      <w:pPr>
        <w:spacing w:after="0"/>
      </w:pPr>
    </w:p>
    <w:p w14:paraId="6455E1E8" w14:textId="01BF2F95" w:rsidR="001E5917" w:rsidRDefault="00FD6F96" w:rsidP="004D6D8F">
      <w:pPr>
        <w:pStyle w:val="ListParagraph"/>
        <w:numPr>
          <w:ilvl w:val="1"/>
          <w:numId w:val="8"/>
        </w:numPr>
        <w:ind w:left="720"/>
      </w:pPr>
      <w:r>
        <w:t>Interview</w:t>
      </w:r>
      <w:r w:rsidR="00160051">
        <w:t xml:space="preserve"> after first </w:t>
      </w:r>
      <w:proofErr w:type="spellStart"/>
      <w:r w:rsidR="00160051">
        <w:t>EoI</w:t>
      </w:r>
      <w:proofErr w:type="spellEnd"/>
    </w:p>
    <w:p w14:paraId="5775B6CC" w14:textId="51A5F719" w:rsidR="007776E4" w:rsidRDefault="00957114" w:rsidP="00CA61B0">
      <w:pPr>
        <w:spacing w:after="0"/>
      </w:pPr>
      <w:r>
        <w:t>An i</w:t>
      </w:r>
      <w:r w:rsidR="0007683F">
        <w:t>nterview</w:t>
      </w:r>
      <w:r>
        <w:t xml:space="preserve"> is arranged where </w:t>
      </w:r>
      <w:r w:rsidR="00ED59D1">
        <w:t xml:space="preserve">the </w:t>
      </w:r>
      <w:proofErr w:type="spellStart"/>
      <w:r w:rsidR="00ED59D1">
        <w:t>EoI</w:t>
      </w:r>
      <w:proofErr w:type="spellEnd"/>
      <w:r w:rsidR="00ED59D1">
        <w:t xml:space="preserve"> demonstrates the appropriate qualifications/knowledge </w:t>
      </w:r>
      <w:r>
        <w:t>an</w:t>
      </w:r>
      <w:r w:rsidR="00ED59D1">
        <w:t xml:space="preserve">d the candidate is not </w:t>
      </w:r>
      <w:r w:rsidR="0007683F">
        <w:t xml:space="preserve">already in the </w:t>
      </w:r>
      <w:r w:rsidR="003D004C">
        <w:t xml:space="preserve">Teaching Affiliate </w:t>
      </w:r>
      <w:r w:rsidR="0007683F">
        <w:t>pool (see below)</w:t>
      </w:r>
      <w:r w:rsidR="007776E4">
        <w:t xml:space="preserve">. </w:t>
      </w:r>
    </w:p>
    <w:p w14:paraId="01B483F8" w14:textId="1C203C0C" w:rsidR="00CA61B0" w:rsidRDefault="007776E4" w:rsidP="00D17CCE">
      <w:pPr>
        <w:pStyle w:val="ListParagraph"/>
        <w:numPr>
          <w:ilvl w:val="0"/>
          <w:numId w:val="21"/>
        </w:numPr>
        <w:spacing w:after="0"/>
        <w:ind w:left="714" w:hanging="357"/>
      </w:pPr>
      <w:r>
        <w:lastRenderedPageBreak/>
        <w:t xml:space="preserve">Invitations are issued by </w:t>
      </w:r>
      <w:r w:rsidR="00CA61B0">
        <w:t>the Head of Departmen</w:t>
      </w:r>
      <w:r w:rsidR="007E16F9">
        <w:t>t</w:t>
      </w:r>
      <w:r w:rsidR="007E16F9" w:rsidRPr="007E16F9">
        <w:t xml:space="preserve"> </w:t>
      </w:r>
      <w:r w:rsidR="007E16F9">
        <w:t>or nominee/</w:t>
      </w:r>
      <w:r w:rsidR="00127362">
        <w:t>Teaching Affiliate Co-ordinator</w:t>
      </w:r>
      <w:r>
        <w:t xml:space="preserve"> (School of English only)</w:t>
      </w:r>
    </w:p>
    <w:p w14:paraId="7A71C74F" w14:textId="77777777" w:rsidR="007F796A" w:rsidRPr="007F796A" w:rsidRDefault="00251F0C" w:rsidP="00D17CCE">
      <w:pPr>
        <w:pStyle w:val="ListParagraph"/>
        <w:numPr>
          <w:ilvl w:val="0"/>
          <w:numId w:val="20"/>
        </w:numPr>
        <w:spacing w:after="0"/>
        <w:ind w:left="714" w:hanging="357"/>
      </w:pPr>
      <w:r w:rsidRPr="007F796A">
        <w:rPr>
          <w:rFonts w:cs="Times New Roman"/>
        </w:rPr>
        <w:t>The Head of Department</w:t>
      </w:r>
      <w:r w:rsidR="00B17709" w:rsidRPr="007F796A">
        <w:rPr>
          <w:rFonts w:cs="Times New Roman"/>
        </w:rPr>
        <w:t xml:space="preserve"> or </w:t>
      </w:r>
      <w:r w:rsidRPr="007F796A">
        <w:rPr>
          <w:rFonts w:cs="Times New Roman"/>
        </w:rPr>
        <w:t>nominee</w:t>
      </w:r>
      <w:r w:rsidR="00B17709" w:rsidRPr="007F796A">
        <w:rPr>
          <w:rFonts w:cs="Times New Roman"/>
        </w:rPr>
        <w:t>/</w:t>
      </w:r>
      <w:r w:rsidRPr="007F796A">
        <w:rPr>
          <w:rFonts w:cs="Times New Roman"/>
        </w:rPr>
        <w:t xml:space="preserve">Teaching Affiliate Co-ordinator (School of English only) plus an academic colleague are </w:t>
      </w:r>
      <w:r w:rsidR="007F796A">
        <w:rPr>
          <w:rFonts w:cs="Times New Roman"/>
        </w:rPr>
        <w:t>required to panel the interview</w:t>
      </w:r>
    </w:p>
    <w:p w14:paraId="602CC779" w14:textId="77777777" w:rsidR="00252A5E" w:rsidRPr="00252A5E" w:rsidRDefault="00A45354" w:rsidP="00D17CCE">
      <w:pPr>
        <w:pStyle w:val="ListParagraph"/>
        <w:numPr>
          <w:ilvl w:val="0"/>
          <w:numId w:val="20"/>
        </w:numPr>
        <w:spacing w:after="0"/>
        <w:ind w:left="714" w:hanging="357"/>
      </w:pPr>
      <w:r>
        <w:t xml:space="preserve">The </w:t>
      </w:r>
      <w:r w:rsidRPr="007F796A">
        <w:rPr>
          <w:rFonts w:cs="Times New Roman"/>
        </w:rPr>
        <w:t>Head of Department/</w:t>
      </w:r>
      <w:r w:rsidR="000C575B" w:rsidRPr="007F796A">
        <w:rPr>
          <w:rFonts w:cs="Times New Roman"/>
        </w:rPr>
        <w:t>nominee/Teaching Affiliate Co-ordinator</w:t>
      </w:r>
      <w:r w:rsidR="00251F0C" w:rsidRPr="007F796A">
        <w:rPr>
          <w:rFonts w:cs="Times New Roman"/>
        </w:rPr>
        <w:t>, as lead panel member,</w:t>
      </w:r>
      <w:r w:rsidRPr="007F796A">
        <w:rPr>
          <w:rFonts w:cs="Times New Roman"/>
        </w:rPr>
        <w:t xml:space="preserve"> </w:t>
      </w:r>
      <w:r w:rsidR="00251F0C" w:rsidRPr="007F796A">
        <w:rPr>
          <w:rFonts w:cs="Times New Roman"/>
        </w:rPr>
        <w:t xml:space="preserve">has discretion on the length and </w:t>
      </w:r>
      <w:r w:rsidR="00DF1FCC" w:rsidRPr="007F796A">
        <w:rPr>
          <w:rFonts w:cs="Times New Roman"/>
        </w:rPr>
        <w:t>form</w:t>
      </w:r>
      <w:r w:rsidR="00251F0C" w:rsidRPr="007F796A">
        <w:rPr>
          <w:rFonts w:cs="Times New Roman"/>
        </w:rPr>
        <w:t xml:space="preserve"> of interview</w:t>
      </w:r>
    </w:p>
    <w:p w14:paraId="477E5EF7" w14:textId="7F7E8321" w:rsidR="00A45354" w:rsidRPr="00A45354" w:rsidRDefault="00A45354" w:rsidP="00D17CCE">
      <w:pPr>
        <w:pStyle w:val="ListParagraph"/>
        <w:numPr>
          <w:ilvl w:val="0"/>
          <w:numId w:val="20"/>
        </w:numPr>
        <w:spacing w:after="0"/>
        <w:ind w:left="714" w:hanging="357"/>
      </w:pPr>
      <w:r w:rsidRPr="007F796A">
        <w:rPr>
          <w:rFonts w:cs="Times New Roman"/>
        </w:rPr>
        <w:t xml:space="preserve">During the interview the lead panel member </w:t>
      </w:r>
      <w:r w:rsidR="00252A5E">
        <w:rPr>
          <w:rFonts w:cs="Times New Roman"/>
        </w:rPr>
        <w:t>is</w:t>
      </w:r>
      <w:r w:rsidRPr="007F796A">
        <w:rPr>
          <w:rFonts w:cs="Times New Roman"/>
        </w:rPr>
        <w:t xml:space="preserve"> required to </w:t>
      </w:r>
      <w:r w:rsidR="00252A5E">
        <w:rPr>
          <w:rFonts w:cs="Times New Roman"/>
        </w:rPr>
        <w:t>complete</w:t>
      </w:r>
      <w:r w:rsidRPr="007F796A">
        <w:rPr>
          <w:rFonts w:cs="Times New Roman"/>
        </w:rPr>
        <w:t xml:space="preserve"> an</w:t>
      </w:r>
      <w:r w:rsidR="00252A5E">
        <w:rPr>
          <w:rFonts w:cs="Times New Roman"/>
        </w:rPr>
        <w:t>d sign an Interview Record Form</w:t>
      </w:r>
    </w:p>
    <w:p w14:paraId="560E158D" w14:textId="77777777" w:rsidR="00FD6F96" w:rsidRDefault="00FD6F96" w:rsidP="00FD6F96">
      <w:pPr>
        <w:spacing w:after="0"/>
      </w:pPr>
    </w:p>
    <w:p w14:paraId="755DAAAB" w14:textId="50C0DD16" w:rsidR="00FD6F96" w:rsidRPr="00480A9D" w:rsidRDefault="003D004C" w:rsidP="004D6D8F">
      <w:pPr>
        <w:pStyle w:val="Heading1"/>
        <w:numPr>
          <w:ilvl w:val="1"/>
          <w:numId w:val="8"/>
        </w:numPr>
        <w:ind w:left="720"/>
        <w:rPr>
          <w:b w:val="0"/>
        </w:rPr>
      </w:pPr>
      <w:r w:rsidRPr="00480A9D">
        <w:rPr>
          <w:b w:val="0"/>
        </w:rPr>
        <w:t>Teaching Affiliate pool</w:t>
      </w:r>
    </w:p>
    <w:p w14:paraId="25696A45" w14:textId="3C962DB6" w:rsidR="00AF59A0" w:rsidRDefault="0095316A" w:rsidP="00A45354">
      <w:pPr>
        <w:spacing w:after="0"/>
      </w:pPr>
      <w:r>
        <w:t xml:space="preserve">Teaching Affiliates successful at interview </w:t>
      </w:r>
      <w:r w:rsidR="00984660">
        <w:t>are</w:t>
      </w:r>
      <w:r>
        <w:t xml:space="preserve"> </w:t>
      </w:r>
      <w:r w:rsidR="00B757C5">
        <w:t>listed in</w:t>
      </w:r>
      <w:r>
        <w:t xml:space="preserve"> </w:t>
      </w:r>
      <w:r w:rsidR="005A7AA6">
        <w:t>the Teaching Affiliate pool</w:t>
      </w:r>
      <w:r>
        <w:t xml:space="preserve"> for five years subject to satisfactory performance</w:t>
      </w:r>
      <w:r w:rsidR="00FD6F96">
        <w:t xml:space="preserve">. </w:t>
      </w:r>
      <w:r w:rsidR="00E90A46">
        <w:t xml:space="preserve">Those in the </w:t>
      </w:r>
      <w:r w:rsidR="003D004C">
        <w:t xml:space="preserve">Teaching Affiliate </w:t>
      </w:r>
      <w:r w:rsidR="00E90A46">
        <w:t xml:space="preserve">pool have no obligation to be available for work, nor does the University have an obligation to provide work. </w:t>
      </w:r>
      <w:r w:rsidR="00FD6F96">
        <w:t xml:space="preserve">When in the pool, Teaching Affiliates are not required to re-interview in order to take on </w:t>
      </w:r>
      <w:r w:rsidR="001A67D3">
        <w:t xml:space="preserve">a </w:t>
      </w:r>
      <w:r w:rsidR="00FD6F96">
        <w:t>casual assignment</w:t>
      </w:r>
      <w:r w:rsidR="00E90A46">
        <w:t xml:space="preserve"> but will need to respond to the yearly </w:t>
      </w:r>
      <w:proofErr w:type="spellStart"/>
      <w:r w:rsidR="00E90A46">
        <w:t>EoI</w:t>
      </w:r>
      <w:proofErr w:type="spellEnd"/>
      <w:r w:rsidR="00E90A46">
        <w:t xml:space="preserve"> call in order to be considered for an assignment in the next academic year. </w:t>
      </w:r>
    </w:p>
    <w:p w14:paraId="581E8E30" w14:textId="77777777" w:rsidR="00A45354" w:rsidRDefault="00A45354" w:rsidP="00A45354">
      <w:pPr>
        <w:spacing w:after="0"/>
      </w:pPr>
    </w:p>
    <w:p w14:paraId="2741BF53" w14:textId="77777777" w:rsidR="00FD6F96" w:rsidRDefault="00FD6F96" w:rsidP="004D6D8F">
      <w:pPr>
        <w:pStyle w:val="ListParagraph"/>
        <w:numPr>
          <w:ilvl w:val="1"/>
          <w:numId w:val="8"/>
        </w:numPr>
        <w:ind w:left="720"/>
      </w:pPr>
      <w:r>
        <w:t>Engagement</w:t>
      </w:r>
    </w:p>
    <w:p w14:paraId="20559E9B" w14:textId="7CFE7EC6" w:rsidR="00FD6F96" w:rsidRDefault="003D004C" w:rsidP="00FD6F96">
      <w:pPr>
        <w:spacing w:after="0"/>
      </w:pPr>
      <w:r>
        <w:t>A</w:t>
      </w:r>
      <w:r w:rsidR="00FD6F96" w:rsidRPr="001E5917">
        <w:t xml:space="preserve">dministered through </w:t>
      </w:r>
      <w:r w:rsidR="00502C5F">
        <w:t>HR</w:t>
      </w:r>
      <w:r w:rsidR="00FD6F96" w:rsidRPr="001E5917">
        <w:t>.</w:t>
      </w:r>
    </w:p>
    <w:p w14:paraId="0FB276C7" w14:textId="77777777" w:rsidR="00FD6F96" w:rsidRDefault="00FD6F96" w:rsidP="00FD6F96">
      <w:pPr>
        <w:spacing w:after="0"/>
      </w:pPr>
    </w:p>
    <w:p w14:paraId="4C837B4C" w14:textId="77777777" w:rsidR="00B451A2" w:rsidRPr="00FD6F96" w:rsidRDefault="00FD6F96" w:rsidP="004D6D8F">
      <w:pPr>
        <w:pStyle w:val="ListParagraph"/>
        <w:numPr>
          <w:ilvl w:val="1"/>
          <w:numId w:val="8"/>
        </w:numPr>
        <w:ind w:left="720"/>
        <w:rPr>
          <w:rFonts w:cs="Times New Roman"/>
        </w:rPr>
      </w:pPr>
      <w:r w:rsidRPr="00FD6F96">
        <w:rPr>
          <w:rFonts w:cs="Times New Roman"/>
        </w:rPr>
        <w:t>Evaluation of teaching</w:t>
      </w:r>
    </w:p>
    <w:p w14:paraId="6B1DE5A1" w14:textId="11EABD5E" w:rsidR="00350CD1" w:rsidRDefault="0095316A" w:rsidP="00FD6F96">
      <w:pPr>
        <w:spacing w:after="0"/>
      </w:pPr>
      <w:r>
        <w:t xml:space="preserve">Teaching Affiliates </w:t>
      </w:r>
      <w:r w:rsidR="00984660">
        <w:t>are</w:t>
      </w:r>
      <w:r>
        <w:t xml:space="preserve"> assessed once </w:t>
      </w:r>
      <w:r w:rsidR="003D004C">
        <w:t xml:space="preserve">in each </w:t>
      </w:r>
      <w:r>
        <w:t xml:space="preserve">year they </w:t>
      </w:r>
      <w:r w:rsidR="003D004C">
        <w:t>have</w:t>
      </w:r>
      <w:r>
        <w:t xml:space="preserve"> a casual assignment</w:t>
      </w:r>
      <w:r w:rsidR="003D004C">
        <w:t>. Assessment has two parts</w:t>
      </w:r>
      <w:r>
        <w:t xml:space="preserve">: teaching observation and </w:t>
      </w:r>
      <w:r w:rsidR="003D004C">
        <w:t>S</w:t>
      </w:r>
      <w:r>
        <w:t>tudent Evaluation of Teaching (</w:t>
      </w:r>
      <w:r w:rsidR="003D004C">
        <w:t>Evaluate</w:t>
      </w:r>
      <w:r w:rsidR="00502C5F">
        <w:t>)</w:t>
      </w:r>
      <w:r>
        <w:t xml:space="preserve">. </w:t>
      </w:r>
      <w:r w:rsidR="00A45354" w:rsidRPr="003D004C">
        <w:t>The Head of Department/</w:t>
      </w:r>
      <w:r w:rsidR="003D004C" w:rsidRPr="003D004C">
        <w:rPr>
          <w:rFonts w:cs="Times New Roman"/>
        </w:rPr>
        <w:t xml:space="preserve"> </w:t>
      </w:r>
      <w:r w:rsidR="003D004C" w:rsidRPr="007F796A">
        <w:rPr>
          <w:rFonts w:cs="Times New Roman"/>
        </w:rPr>
        <w:t>Teaching Affiliate Co-ordinator</w:t>
      </w:r>
      <w:r w:rsidR="003D004C">
        <w:rPr>
          <w:rFonts w:cs="Times New Roman"/>
        </w:rPr>
        <w:t xml:space="preserve">/nominee </w:t>
      </w:r>
      <w:r w:rsidR="00A45354">
        <w:t xml:space="preserve">is required to observe the teaching of each </w:t>
      </w:r>
      <w:r w:rsidR="003D004C">
        <w:t>Teaching Affiliate</w:t>
      </w:r>
      <w:r w:rsidR="00A45354">
        <w:t xml:space="preserve"> and to </w:t>
      </w:r>
      <w:r w:rsidR="003D004C">
        <w:t>complete</w:t>
      </w:r>
      <w:r w:rsidR="00A45354">
        <w:t xml:space="preserve"> and sign an Interview Record Form. </w:t>
      </w:r>
      <w:r w:rsidR="00FD6F96">
        <w:t xml:space="preserve">This assessment will determine whether the </w:t>
      </w:r>
      <w:r w:rsidR="003D004C">
        <w:t>Teaching Affiliate</w:t>
      </w:r>
      <w:r w:rsidR="00FD6F96">
        <w:t xml:space="preserve"> is working to an appropriate standard and to define any areas where improvement and development is needed. </w:t>
      </w:r>
    </w:p>
    <w:p w14:paraId="74FF3537" w14:textId="77777777" w:rsidR="00AF59A0" w:rsidRDefault="00AF59A0" w:rsidP="00FD6F96">
      <w:pPr>
        <w:spacing w:after="0"/>
      </w:pPr>
    </w:p>
    <w:p w14:paraId="7DA97630" w14:textId="77777777" w:rsidR="00AF59A0" w:rsidRDefault="00AF59A0" w:rsidP="004D6D8F">
      <w:pPr>
        <w:pStyle w:val="ListParagraph"/>
        <w:numPr>
          <w:ilvl w:val="1"/>
          <w:numId w:val="8"/>
        </w:numPr>
        <w:ind w:left="720"/>
      </w:pPr>
      <w:r>
        <w:t>Termination of engagement</w:t>
      </w:r>
    </w:p>
    <w:p w14:paraId="69280F57" w14:textId="52700010" w:rsidR="00AF59A0" w:rsidRDefault="000F3318" w:rsidP="00AF59A0">
      <w:pPr>
        <w:spacing w:after="0"/>
      </w:pPr>
      <w:r>
        <w:t>All c</w:t>
      </w:r>
      <w:r w:rsidRPr="000F3318">
        <w:t xml:space="preserve">asual engagements are subject to satisfactory performance. </w:t>
      </w:r>
      <w:r>
        <w:t xml:space="preserve">Underperformance will result in termination of the assignment and/or removal </w:t>
      </w:r>
      <w:r w:rsidR="00AF59A0" w:rsidRPr="000F3318">
        <w:t xml:space="preserve">from the </w:t>
      </w:r>
      <w:r w:rsidR="003D004C">
        <w:t xml:space="preserve">Teaching Affiliate </w:t>
      </w:r>
      <w:r w:rsidR="00AF59A0" w:rsidRPr="000F3318">
        <w:t>pool.</w:t>
      </w:r>
    </w:p>
    <w:p w14:paraId="40303103" w14:textId="77777777" w:rsidR="007776E4" w:rsidRPr="00FD6F96" w:rsidRDefault="007776E4" w:rsidP="00FD6F96">
      <w:pPr>
        <w:spacing w:after="0"/>
      </w:pPr>
    </w:p>
    <w:p w14:paraId="201A20F3" w14:textId="77777777" w:rsidR="00B451A2" w:rsidRPr="00E90A46" w:rsidRDefault="00560824" w:rsidP="004D6D8F">
      <w:pPr>
        <w:pStyle w:val="Heading1"/>
        <w:ind w:left="357" w:hanging="357"/>
      </w:pPr>
      <w:bookmarkStart w:id="8" w:name="VisitingGuest"/>
      <w:bookmarkEnd w:id="8"/>
      <w:r w:rsidRPr="00E90A46">
        <w:t>Visiting/Guest Lecturers</w:t>
      </w:r>
    </w:p>
    <w:p w14:paraId="256ED2E3" w14:textId="068604E7" w:rsidR="00560824" w:rsidRDefault="00E90A46" w:rsidP="00E90A46">
      <w:pPr>
        <w:spacing w:after="0"/>
        <w:rPr>
          <w:rFonts w:cs="Times New Roman"/>
        </w:rPr>
      </w:pPr>
      <w:r w:rsidRPr="00E90A46">
        <w:rPr>
          <w:rFonts w:cs="Times New Roman"/>
        </w:rPr>
        <w:t>The University defines a Visiting/Guest Lecturer as an individual who provides a one-off talk or a short series of talks on a subject about which he or she has specialist knowledge, and which is not part of the core curriculum. Visiting/Guest Lecturers can be remunerated for their contributions through travel and subsistence expenses and/or a fee for their work.</w:t>
      </w:r>
    </w:p>
    <w:p w14:paraId="58B38C34" w14:textId="77777777" w:rsidR="00780D67" w:rsidRDefault="00780D67" w:rsidP="00E90A46">
      <w:pPr>
        <w:spacing w:after="0"/>
        <w:rPr>
          <w:rFonts w:cs="Times New Roman"/>
        </w:rPr>
      </w:pPr>
    </w:p>
    <w:p w14:paraId="7B167962" w14:textId="6C13FA8E" w:rsidR="00780D67" w:rsidRDefault="00BA0DAD" w:rsidP="00443948">
      <w:pPr>
        <w:spacing w:after="0"/>
        <w:ind w:left="720" w:hanging="720"/>
        <w:rPr>
          <w:rFonts w:cs="Times New Roman"/>
        </w:rPr>
      </w:pPr>
      <w:r>
        <w:rPr>
          <w:rFonts w:cs="Times New Roman"/>
        </w:rPr>
        <w:t>1</w:t>
      </w:r>
      <w:r w:rsidR="004344E4">
        <w:rPr>
          <w:rFonts w:cs="Times New Roman"/>
        </w:rPr>
        <w:t>1</w:t>
      </w:r>
      <w:r w:rsidR="00780D67">
        <w:rPr>
          <w:rFonts w:cs="Times New Roman"/>
        </w:rPr>
        <w:t>.1</w:t>
      </w:r>
      <w:r w:rsidR="00780D67">
        <w:rPr>
          <w:rFonts w:cs="Times New Roman"/>
        </w:rPr>
        <w:tab/>
        <w:t>Payment</w:t>
      </w:r>
      <w:r>
        <w:rPr>
          <w:rFonts w:cs="Times New Roman"/>
        </w:rPr>
        <w:t>/expenses</w:t>
      </w:r>
    </w:p>
    <w:p w14:paraId="272F6535" w14:textId="77777777" w:rsidR="00780D67" w:rsidRDefault="00780D67" w:rsidP="00E90A46">
      <w:pPr>
        <w:spacing w:after="0"/>
        <w:rPr>
          <w:rFonts w:cs="Times New Roman"/>
        </w:rPr>
      </w:pPr>
    </w:p>
    <w:p w14:paraId="26B7924D" w14:textId="65961F75" w:rsidR="007069AC" w:rsidRDefault="00780D67" w:rsidP="00E90A46">
      <w:pPr>
        <w:spacing w:after="0"/>
        <w:rPr>
          <w:rFonts w:cs="Times New Roman"/>
        </w:rPr>
      </w:pPr>
      <w:r w:rsidRPr="00E90A46">
        <w:rPr>
          <w:rFonts w:cs="Times New Roman"/>
        </w:rPr>
        <w:t xml:space="preserve">It is accepted that certain professionals will provide their services for a specific fee whilst others may offer their services in kind, with travel and subsistence costs reimbursed. It is at the discretion of Head of Department/Section as to whether a fee </w:t>
      </w:r>
      <w:r>
        <w:rPr>
          <w:rFonts w:cs="Times New Roman"/>
        </w:rPr>
        <w:t xml:space="preserve">is </w:t>
      </w:r>
      <w:r w:rsidRPr="00E90A46">
        <w:rPr>
          <w:rFonts w:cs="Times New Roman"/>
        </w:rPr>
        <w:t>offered</w:t>
      </w:r>
      <w:r>
        <w:rPr>
          <w:rFonts w:cs="Times New Roman"/>
        </w:rPr>
        <w:t xml:space="preserve"> and the </w:t>
      </w:r>
      <w:r w:rsidR="00610AEB">
        <w:rPr>
          <w:rFonts w:cs="Times New Roman"/>
        </w:rPr>
        <w:t xml:space="preserve">amount. If a fee is to be offered the </w:t>
      </w:r>
      <w:proofErr w:type="spellStart"/>
      <w:r w:rsidR="00610AEB">
        <w:rPr>
          <w:rFonts w:cs="Times New Roman"/>
        </w:rPr>
        <w:t>HoD</w:t>
      </w:r>
      <w:proofErr w:type="spellEnd"/>
      <w:r w:rsidR="00610AEB">
        <w:rPr>
          <w:rFonts w:cs="Times New Roman"/>
        </w:rPr>
        <w:t>/nominee should</w:t>
      </w:r>
      <w:r>
        <w:rPr>
          <w:rFonts w:cs="Times New Roman"/>
        </w:rPr>
        <w:t xml:space="preserve"> </w:t>
      </w:r>
      <w:r w:rsidR="00610AEB" w:rsidRPr="00E90A46">
        <w:rPr>
          <w:rFonts w:cs="Times New Roman"/>
        </w:rPr>
        <w:t xml:space="preserve">in the first instance </w:t>
      </w:r>
      <w:r w:rsidR="00610AEB">
        <w:rPr>
          <w:rFonts w:cs="Times New Roman"/>
        </w:rPr>
        <w:t>consult</w:t>
      </w:r>
      <w:r w:rsidR="00610AEB" w:rsidRPr="00E90A46">
        <w:rPr>
          <w:rFonts w:cs="Times New Roman"/>
        </w:rPr>
        <w:t xml:space="preserve"> the </w:t>
      </w:r>
      <w:r w:rsidR="00610AEB">
        <w:rPr>
          <w:rFonts w:cs="Times New Roman"/>
        </w:rPr>
        <w:lastRenderedPageBreak/>
        <w:t>Faculty</w:t>
      </w:r>
      <w:r w:rsidR="00610AEB" w:rsidRPr="00E90A46">
        <w:rPr>
          <w:rFonts w:cs="Times New Roman"/>
        </w:rPr>
        <w:t xml:space="preserve"> Operations Manager/Nominee, who will provide guidance on an appropriate fee in line with the Faculty of Arts Teaching Norms</w:t>
      </w:r>
      <w:r w:rsidR="00610AEB">
        <w:rPr>
          <w:rFonts w:cs="Times New Roman"/>
        </w:rPr>
        <w:t xml:space="preserve">. This will ensure any fee is </w:t>
      </w:r>
      <w:r>
        <w:rPr>
          <w:rFonts w:cs="Times New Roman"/>
        </w:rPr>
        <w:t>consistent with the work und</w:t>
      </w:r>
      <w:r w:rsidR="00610AEB">
        <w:rPr>
          <w:rFonts w:cs="Times New Roman"/>
        </w:rPr>
        <w:t>ertaken/contribution made</w:t>
      </w:r>
      <w:r w:rsidRPr="00E90A46">
        <w:rPr>
          <w:rFonts w:cs="Times New Roman"/>
        </w:rPr>
        <w:t xml:space="preserve">. </w:t>
      </w:r>
      <w:r>
        <w:rPr>
          <w:rFonts w:cs="Times New Roman"/>
        </w:rPr>
        <w:t>T</w:t>
      </w:r>
      <w:r w:rsidRPr="00E90A46">
        <w:rPr>
          <w:rFonts w:cs="Times New Roman"/>
        </w:rPr>
        <w:t>he total value of remuneration should not exceed £300 unless approval fro</w:t>
      </w:r>
      <w:r>
        <w:rPr>
          <w:rFonts w:cs="Times New Roman"/>
        </w:rPr>
        <w:t>m the Head of School is given.</w:t>
      </w:r>
      <w:r w:rsidRPr="00E90A46">
        <w:rPr>
          <w:rFonts w:cs="Times New Roman"/>
        </w:rPr>
        <w:t xml:space="preserve"> </w:t>
      </w:r>
    </w:p>
    <w:p w14:paraId="604A5727" w14:textId="77777777" w:rsidR="00780D67" w:rsidRDefault="00780D67" w:rsidP="00E90A46">
      <w:pPr>
        <w:spacing w:after="0"/>
        <w:rPr>
          <w:rFonts w:cs="Times New Roman"/>
        </w:rPr>
      </w:pPr>
    </w:p>
    <w:p w14:paraId="2F52D565" w14:textId="2DC65394" w:rsidR="007069AC" w:rsidRPr="00E90A46" w:rsidRDefault="007069AC" w:rsidP="00443948">
      <w:pPr>
        <w:ind w:left="720" w:hanging="720"/>
        <w:rPr>
          <w:rFonts w:cs="Times New Roman"/>
        </w:rPr>
      </w:pPr>
      <w:r>
        <w:rPr>
          <w:rFonts w:cs="Times New Roman"/>
        </w:rPr>
        <w:t>1</w:t>
      </w:r>
      <w:r w:rsidR="004344E4">
        <w:rPr>
          <w:rFonts w:cs="Times New Roman"/>
        </w:rPr>
        <w:t>1</w:t>
      </w:r>
      <w:r w:rsidR="00780D67">
        <w:rPr>
          <w:rFonts w:cs="Times New Roman"/>
        </w:rPr>
        <w:t>.2</w:t>
      </w:r>
      <w:r>
        <w:rPr>
          <w:rFonts w:cs="Times New Roman"/>
        </w:rPr>
        <w:tab/>
      </w:r>
      <w:r w:rsidRPr="00E90A46">
        <w:rPr>
          <w:rFonts w:cs="Times New Roman"/>
        </w:rPr>
        <w:t>Letter of Engagement</w:t>
      </w:r>
    </w:p>
    <w:p w14:paraId="17D15D89" w14:textId="4B41AABD" w:rsidR="007069AC" w:rsidRDefault="007069AC" w:rsidP="007069AC">
      <w:pPr>
        <w:spacing w:after="0"/>
        <w:rPr>
          <w:rFonts w:cs="Times New Roman"/>
        </w:rPr>
      </w:pPr>
      <w:r w:rsidRPr="00E90A46">
        <w:rPr>
          <w:rFonts w:cs="Times New Roman"/>
        </w:rPr>
        <w:t xml:space="preserve">This letter acts as a formal invitation to the individual, detailing the work and remuneration offered (or agreed). The letter of engagement should be on University letterhead and </w:t>
      </w:r>
      <w:r>
        <w:rPr>
          <w:rFonts w:cs="Times New Roman"/>
        </w:rPr>
        <w:t xml:space="preserve">based on the </w:t>
      </w:r>
      <w:r w:rsidRPr="00E90A46">
        <w:rPr>
          <w:rFonts w:cs="Times New Roman"/>
        </w:rPr>
        <w:t xml:space="preserve">template/example </w:t>
      </w:r>
      <w:r>
        <w:rPr>
          <w:rFonts w:cs="Times New Roman"/>
        </w:rPr>
        <w:t xml:space="preserve">held by </w:t>
      </w:r>
      <w:r w:rsidRPr="00E90A46">
        <w:rPr>
          <w:rFonts w:cs="Times New Roman"/>
        </w:rPr>
        <w:t>the School Management and Research Office</w:t>
      </w:r>
      <w:r w:rsidR="00610AEB">
        <w:rPr>
          <w:rFonts w:cs="Times New Roman"/>
        </w:rPr>
        <w:t xml:space="preserve"> (SMRO)</w:t>
      </w:r>
      <w:r w:rsidRPr="00E90A46">
        <w:rPr>
          <w:rFonts w:cs="Times New Roman"/>
        </w:rPr>
        <w:t>.</w:t>
      </w:r>
    </w:p>
    <w:p w14:paraId="55FDFC14" w14:textId="77777777" w:rsidR="007069AC" w:rsidRPr="00E90A46" w:rsidRDefault="007069AC" w:rsidP="007069AC">
      <w:pPr>
        <w:spacing w:after="0"/>
        <w:rPr>
          <w:rFonts w:cs="Times New Roman"/>
        </w:rPr>
      </w:pPr>
    </w:p>
    <w:p w14:paraId="4407078D" w14:textId="6FE084C4" w:rsidR="00E90A46" w:rsidRPr="007069AC" w:rsidRDefault="004648A7" w:rsidP="00443948">
      <w:pPr>
        <w:ind w:left="720" w:hanging="720"/>
        <w:rPr>
          <w:rFonts w:cs="Times New Roman"/>
        </w:rPr>
      </w:pPr>
      <w:r>
        <w:rPr>
          <w:rFonts w:cs="Times New Roman"/>
        </w:rPr>
        <w:t>1</w:t>
      </w:r>
      <w:r w:rsidR="004344E4">
        <w:rPr>
          <w:rFonts w:cs="Times New Roman"/>
        </w:rPr>
        <w:t>1</w:t>
      </w:r>
      <w:r>
        <w:rPr>
          <w:rFonts w:cs="Times New Roman"/>
        </w:rPr>
        <w:t>.3</w:t>
      </w:r>
      <w:r w:rsidR="007069AC">
        <w:rPr>
          <w:rFonts w:cs="Times New Roman"/>
        </w:rPr>
        <w:tab/>
      </w:r>
      <w:r w:rsidR="007069AC" w:rsidRPr="007069AC">
        <w:rPr>
          <w:rFonts w:cs="Times New Roman"/>
        </w:rPr>
        <w:t>Method of payment</w:t>
      </w:r>
      <w:r w:rsidR="007069AC">
        <w:rPr>
          <w:rFonts w:cs="Times New Roman"/>
        </w:rPr>
        <w:t xml:space="preserve"> where </w:t>
      </w:r>
      <w:r w:rsidR="007069AC" w:rsidRPr="00E90A46">
        <w:rPr>
          <w:rFonts w:cs="Times New Roman"/>
        </w:rPr>
        <w:t>it has been decided that a Visiting/Guest Lecturer is to be remunerated by reimbursement of travel and subsistence expenses</w:t>
      </w:r>
      <w:r>
        <w:rPr>
          <w:rFonts w:cs="Times New Roman"/>
        </w:rPr>
        <w:t xml:space="preserve"> only</w:t>
      </w:r>
    </w:p>
    <w:p w14:paraId="5247FD48" w14:textId="560D5646" w:rsidR="00E90A46" w:rsidRPr="00E90A46" w:rsidRDefault="00E90A46" w:rsidP="00E90A46">
      <w:pPr>
        <w:spacing w:after="0"/>
        <w:rPr>
          <w:rFonts w:cs="Times New Roman"/>
        </w:rPr>
      </w:pPr>
      <w:r w:rsidRPr="00E90A46">
        <w:rPr>
          <w:rFonts w:cs="Times New Roman"/>
        </w:rPr>
        <w:t xml:space="preserve">The individual should be provided with a Non-Staff Expense Claim form. This should be signed and submitted to the School with receipts, which may be submitted electronically. </w:t>
      </w:r>
    </w:p>
    <w:p w14:paraId="2ECC838E" w14:textId="77777777" w:rsidR="00E90A46" w:rsidRPr="00E90A46" w:rsidRDefault="00E90A46" w:rsidP="00E90A46">
      <w:pPr>
        <w:spacing w:after="0"/>
        <w:rPr>
          <w:rFonts w:cs="Times New Roman"/>
        </w:rPr>
      </w:pPr>
    </w:p>
    <w:p w14:paraId="18F0BB1C" w14:textId="57ACF615" w:rsidR="00E90A46" w:rsidRPr="007069AC" w:rsidRDefault="004648A7" w:rsidP="00443948">
      <w:pPr>
        <w:ind w:left="720" w:hanging="720"/>
        <w:rPr>
          <w:rFonts w:cs="Times New Roman"/>
        </w:rPr>
      </w:pPr>
      <w:r>
        <w:rPr>
          <w:rFonts w:cs="Times New Roman"/>
        </w:rPr>
        <w:t>1</w:t>
      </w:r>
      <w:r w:rsidR="004344E4">
        <w:rPr>
          <w:rFonts w:cs="Times New Roman"/>
        </w:rPr>
        <w:t>1</w:t>
      </w:r>
      <w:r>
        <w:rPr>
          <w:rFonts w:cs="Times New Roman"/>
        </w:rPr>
        <w:t>.4</w:t>
      </w:r>
      <w:r w:rsidR="007069AC">
        <w:rPr>
          <w:rFonts w:cs="Times New Roman"/>
        </w:rPr>
        <w:tab/>
      </w:r>
      <w:r w:rsidR="007069AC" w:rsidRPr="007069AC">
        <w:rPr>
          <w:rFonts w:cs="Times New Roman"/>
        </w:rPr>
        <w:t>Method of payment</w:t>
      </w:r>
      <w:r w:rsidR="007069AC">
        <w:rPr>
          <w:rFonts w:cs="Times New Roman"/>
        </w:rPr>
        <w:t xml:space="preserve"> </w:t>
      </w:r>
      <w:r w:rsidR="007069AC" w:rsidRPr="007069AC">
        <w:rPr>
          <w:rFonts w:cs="Times New Roman"/>
        </w:rPr>
        <w:t>where it has been decided that a Visiting/Guest Lecturer is to be paid a fee and/or expenses</w:t>
      </w:r>
    </w:p>
    <w:p w14:paraId="6646E355" w14:textId="77777777" w:rsidR="00E90A46" w:rsidRPr="00E90A46" w:rsidRDefault="00E90A46" w:rsidP="00E90A46">
      <w:pPr>
        <w:spacing w:after="0"/>
        <w:rPr>
          <w:rFonts w:cs="Times New Roman"/>
        </w:rPr>
      </w:pPr>
      <w:r w:rsidRPr="00E90A46">
        <w:rPr>
          <w:rFonts w:cs="Times New Roman"/>
        </w:rPr>
        <w:t xml:space="preserve">The individual should be provided with a V1 Visiting/Guest Lecturers Form. It should be part completed where possible by the appropriate administrator. This should be returned signed and submitted to the School, with receipts if reimbursement of travel expenses/subsistence has been agreed. The form and receipts may be submitted electronically. </w:t>
      </w:r>
    </w:p>
    <w:p w14:paraId="488C1CA1" w14:textId="77777777" w:rsidR="00E90A46" w:rsidRPr="00E90A46" w:rsidRDefault="00E90A46" w:rsidP="00E90A46">
      <w:pPr>
        <w:spacing w:after="0"/>
        <w:rPr>
          <w:rFonts w:cs="Times New Roman"/>
        </w:rPr>
      </w:pPr>
    </w:p>
    <w:p w14:paraId="45475E25" w14:textId="375C20BD" w:rsidR="00E90A46" w:rsidRDefault="004648A7" w:rsidP="00E90A46">
      <w:pPr>
        <w:spacing w:after="0"/>
        <w:rPr>
          <w:rFonts w:cs="Times New Roman"/>
        </w:rPr>
      </w:pPr>
      <w:r>
        <w:rPr>
          <w:rFonts w:cs="Times New Roman"/>
        </w:rPr>
        <w:t xml:space="preserve">The Letter of Engagement and completed V1 form </w:t>
      </w:r>
      <w:r w:rsidR="00E90A46" w:rsidRPr="00E90A46">
        <w:rPr>
          <w:rFonts w:cs="Times New Roman"/>
        </w:rPr>
        <w:t>should be submitted to Payroll for review, who will then pass it to Payment Services to process.</w:t>
      </w:r>
    </w:p>
    <w:p w14:paraId="4747C0AD" w14:textId="77777777" w:rsidR="007069AC" w:rsidRDefault="007069AC" w:rsidP="00E90A46">
      <w:pPr>
        <w:spacing w:after="0"/>
        <w:rPr>
          <w:rFonts w:cs="Times New Roman"/>
        </w:rPr>
      </w:pPr>
    </w:p>
    <w:p w14:paraId="5A456304" w14:textId="6413A0AB" w:rsidR="00BA0DAD" w:rsidRDefault="004648A7" w:rsidP="00443948">
      <w:pPr>
        <w:ind w:left="720" w:hanging="720"/>
        <w:rPr>
          <w:rFonts w:cs="Times New Roman"/>
        </w:rPr>
      </w:pPr>
      <w:r w:rsidRPr="004648A7">
        <w:rPr>
          <w:rFonts w:cs="Times New Roman"/>
        </w:rPr>
        <w:t>1</w:t>
      </w:r>
      <w:r w:rsidR="004344E4">
        <w:rPr>
          <w:rFonts w:cs="Times New Roman"/>
        </w:rPr>
        <w:t>1</w:t>
      </w:r>
      <w:r w:rsidRPr="004648A7">
        <w:rPr>
          <w:rFonts w:cs="Times New Roman"/>
        </w:rPr>
        <w:t>.5</w:t>
      </w:r>
      <w:r w:rsidR="00BA0DAD">
        <w:rPr>
          <w:rFonts w:cs="Times New Roman"/>
        </w:rPr>
        <w:tab/>
        <w:t>Method of payment where an individual has submitted an invoice</w:t>
      </w:r>
    </w:p>
    <w:p w14:paraId="552CA518" w14:textId="486FE39B" w:rsidR="004648A7" w:rsidRDefault="004648A7" w:rsidP="00BA0DAD">
      <w:pPr>
        <w:spacing w:after="0"/>
        <w:rPr>
          <w:rFonts w:cs="Times New Roman"/>
        </w:rPr>
      </w:pPr>
      <w:r w:rsidRPr="004648A7">
        <w:rPr>
          <w:rFonts w:cs="Times New Roman"/>
        </w:rPr>
        <w:t xml:space="preserve">SMRO staff should complete a </w:t>
      </w:r>
      <w:hyperlink r:id="rId14" w:history="1">
        <w:r w:rsidRPr="00F55C4B">
          <w:rPr>
            <w:rStyle w:val="Hyperlink"/>
            <w:rFonts w:cs="Times New Roman"/>
          </w:rPr>
          <w:t>Non-Employment Status Application form</w:t>
        </w:r>
      </w:hyperlink>
      <w:r w:rsidR="00DE1275">
        <w:rPr>
          <w:rFonts w:cs="Times New Roman"/>
        </w:rPr>
        <w:t xml:space="preserve"> (NESA)</w:t>
      </w:r>
      <w:r w:rsidRPr="004648A7">
        <w:rPr>
          <w:rFonts w:cs="Times New Roman"/>
        </w:rPr>
        <w:t xml:space="preserve">. The individual should not be asked to complete this form however they may be asked </w:t>
      </w:r>
      <w:r w:rsidR="00F55C4B">
        <w:rPr>
          <w:rFonts w:cs="Times New Roman"/>
        </w:rPr>
        <w:t>for specific content,</w:t>
      </w:r>
      <w:r w:rsidRPr="004648A7">
        <w:rPr>
          <w:rFonts w:cs="Times New Roman"/>
        </w:rPr>
        <w:t xml:space="preserve"> i.e. personal details such as their bank account details, address and unique tax payer reference. SMRO should arrange for the individual to be set up on </w:t>
      </w:r>
      <w:proofErr w:type="spellStart"/>
      <w:r w:rsidRPr="004648A7">
        <w:rPr>
          <w:rFonts w:cs="Times New Roman"/>
        </w:rPr>
        <w:t>Agresso</w:t>
      </w:r>
      <w:proofErr w:type="spellEnd"/>
      <w:r w:rsidRPr="004648A7">
        <w:rPr>
          <w:rFonts w:cs="Times New Roman"/>
        </w:rPr>
        <w:t xml:space="preserve"> so that a purchase order can be raised and the invoice processed. </w:t>
      </w:r>
    </w:p>
    <w:p w14:paraId="70A3D498" w14:textId="77777777" w:rsidR="004648A7" w:rsidRPr="00E90A46" w:rsidRDefault="004648A7" w:rsidP="00E90A46">
      <w:pPr>
        <w:spacing w:after="0"/>
        <w:rPr>
          <w:rFonts w:cs="Times New Roman"/>
        </w:rPr>
      </w:pPr>
    </w:p>
    <w:p w14:paraId="1158C98E" w14:textId="77777777" w:rsidR="00210732" w:rsidRPr="00480A9D" w:rsidRDefault="00210732" w:rsidP="00443948">
      <w:pPr>
        <w:pStyle w:val="Heading1"/>
        <w:ind w:left="357" w:hanging="357"/>
      </w:pPr>
      <w:r w:rsidRPr="00480A9D">
        <w:t>Self-employment</w:t>
      </w:r>
    </w:p>
    <w:p w14:paraId="1F626E11" w14:textId="5F04B5C1" w:rsidR="00BA0DAD" w:rsidRDefault="00BA0DAD" w:rsidP="00F61333">
      <w:pPr>
        <w:spacing w:after="0"/>
        <w:rPr>
          <w:rFonts w:cs="Times New Roman"/>
        </w:rPr>
      </w:pPr>
      <w:r w:rsidRPr="00BA0DAD">
        <w:rPr>
          <w:rFonts w:cs="Times New Roman"/>
        </w:rPr>
        <w:t xml:space="preserve">It is the responsibility of the University to determine the employment status of all individuals. That an individual is registered for self-employment does not mean the engagement with the University allows payments to be </w:t>
      </w:r>
      <w:r w:rsidR="00F61333">
        <w:rPr>
          <w:rFonts w:cs="Times New Roman"/>
        </w:rPr>
        <w:t>via invoice (and therefore without PAYE</w:t>
      </w:r>
      <w:r w:rsidRPr="00BA0DAD">
        <w:rPr>
          <w:rFonts w:cs="Times New Roman"/>
        </w:rPr>
        <w:t xml:space="preserve"> statutory deduction</w:t>
      </w:r>
      <w:r w:rsidR="00F61333">
        <w:rPr>
          <w:rFonts w:cs="Times New Roman"/>
        </w:rPr>
        <w:t>)</w:t>
      </w:r>
      <w:r w:rsidRPr="00BA0DAD">
        <w:rPr>
          <w:rFonts w:cs="Times New Roman"/>
        </w:rPr>
        <w:t xml:space="preserve">. </w:t>
      </w:r>
    </w:p>
    <w:p w14:paraId="52BD9F74" w14:textId="77777777" w:rsidR="00F61333" w:rsidRPr="00BA0DAD" w:rsidRDefault="00F61333" w:rsidP="00F61333">
      <w:pPr>
        <w:spacing w:after="0"/>
        <w:rPr>
          <w:rFonts w:cs="Times New Roman"/>
        </w:rPr>
      </w:pPr>
    </w:p>
    <w:p w14:paraId="1E25496F" w14:textId="1472FBA8" w:rsidR="00F61333" w:rsidRPr="00BA0DAD" w:rsidRDefault="00BA0DAD" w:rsidP="00F61333">
      <w:pPr>
        <w:spacing w:after="0"/>
        <w:rPr>
          <w:rFonts w:cs="Times New Roman"/>
        </w:rPr>
      </w:pPr>
      <w:r w:rsidRPr="00BA0DAD">
        <w:rPr>
          <w:rFonts w:cs="Times New Roman"/>
        </w:rPr>
        <w:t xml:space="preserve">Determining an individual’s relationship with the University is complex and is achieved by considering a number of factors. </w:t>
      </w:r>
      <w:r w:rsidR="00F61333">
        <w:rPr>
          <w:rFonts w:cs="Times New Roman"/>
        </w:rPr>
        <w:t xml:space="preserve">In </w:t>
      </w:r>
      <w:r w:rsidR="00F55C4B">
        <w:rPr>
          <w:rFonts w:cs="Times New Roman"/>
        </w:rPr>
        <w:t>order to establish employment status,</w:t>
      </w:r>
      <w:r w:rsidR="00F61333">
        <w:rPr>
          <w:rFonts w:cs="Times New Roman"/>
        </w:rPr>
        <w:t xml:space="preserve"> SMRO </w:t>
      </w:r>
      <w:r w:rsidR="00F55C4B">
        <w:rPr>
          <w:rFonts w:cs="Times New Roman"/>
        </w:rPr>
        <w:t>will</w:t>
      </w:r>
      <w:r w:rsidR="00F61333">
        <w:rPr>
          <w:rFonts w:cs="Times New Roman"/>
        </w:rPr>
        <w:t xml:space="preserve"> complete a </w:t>
      </w:r>
      <w:r w:rsidR="00F61333" w:rsidRPr="00F55C4B">
        <w:rPr>
          <w:rFonts w:cs="Times New Roman"/>
        </w:rPr>
        <w:t>NESA fo</w:t>
      </w:r>
      <w:r w:rsidR="00405B06" w:rsidRPr="00F55C4B">
        <w:rPr>
          <w:rFonts w:cs="Times New Roman"/>
        </w:rPr>
        <w:t>rm</w:t>
      </w:r>
      <w:r w:rsidR="00F61333">
        <w:rPr>
          <w:rFonts w:cs="Times New Roman"/>
        </w:rPr>
        <w:t>. If the self-employed status is approved, SMRO will process payment on receipt of an invoice.</w:t>
      </w:r>
    </w:p>
    <w:p w14:paraId="4017C4C5" w14:textId="77777777" w:rsidR="00324484" w:rsidRDefault="00324484" w:rsidP="00210732">
      <w:pPr>
        <w:spacing w:after="0"/>
        <w:rPr>
          <w:rFonts w:cs="Times New Roman"/>
        </w:rPr>
      </w:pPr>
    </w:p>
    <w:p w14:paraId="04F002C3" w14:textId="77777777" w:rsidR="00E066D0" w:rsidRDefault="00E066D0" w:rsidP="00210732">
      <w:pPr>
        <w:spacing w:after="0"/>
        <w:rPr>
          <w:rFonts w:cs="Times New Roman"/>
        </w:rPr>
      </w:pPr>
    </w:p>
    <w:p w14:paraId="7A0AA561" w14:textId="77777777" w:rsidR="00210732" w:rsidRDefault="00210732" w:rsidP="00443948">
      <w:pPr>
        <w:pStyle w:val="Heading1"/>
        <w:ind w:left="357" w:hanging="357"/>
      </w:pPr>
      <w:r>
        <w:lastRenderedPageBreak/>
        <w:t>Travel expenses</w:t>
      </w:r>
      <w:r w:rsidR="004C6401">
        <w:t xml:space="preserve"> &amp; parking permits</w:t>
      </w:r>
    </w:p>
    <w:p w14:paraId="05777B0B" w14:textId="78F02C32" w:rsidR="00210732" w:rsidRDefault="00210732" w:rsidP="00210732">
      <w:pPr>
        <w:spacing w:after="0"/>
      </w:pPr>
      <w:r>
        <w:t xml:space="preserve">Travel expenses </w:t>
      </w:r>
      <w:r w:rsidR="004C6401">
        <w:t xml:space="preserve">and parking permits </w:t>
      </w:r>
      <w:r w:rsidR="00E233DA">
        <w:t xml:space="preserve">for casual </w:t>
      </w:r>
      <w:r w:rsidR="007E4F0E" w:rsidRPr="00FC016C">
        <w:t>workers</w:t>
      </w:r>
      <w:r w:rsidR="00E233DA" w:rsidRPr="00FC016C">
        <w:t xml:space="preserve"> </w:t>
      </w:r>
      <w:r w:rsidR="00B17709" w:rsidRPr="00FC016C">
        <w:t>(excluding</w:t>
      </w:r>
      <w:r w:rsidR="00E233DA" w:rsidRPr="00FC016C">
        <w:t xml:space="preserve"> Visiting/Guest Lecturers</w:t>
      </w:r>
      <w:r w:rsidR="00B17709" w:rsidRPr="00FC016C">
        <w:t>)</w:t>
      </w:r>
      <w:r w:rsidR="00E233DA" w:rsidRPr="00FC016C">
        <w:t xml:space="preserve"> </w:t>
      </w:r>
      <w:r w:rsidR="00F05F5C" w:rsidRPr="00FC016C">
        <w:t>are paid in exceptional circumstances</w:t>
      </w:r>
      <w:r w:rsidR="00F05F5C">
        <w:t xml:space="preserve"> only, after approval from the </w:t>
      </w:r>
      <w:r w:rsidR="00130293">
        <w:t>F</w:t>
      </w:r>
      <w:r w:rsidR="001A01A4">
        <w:t>PVC for Arts</w:t>
      </w:r>
      <w:r w:rsidR="00F05F5C">
        <w:t xml:space="preserve">, granted in advance of the casual engagement. Approval process: the member of staff wishing to pay the travel expenses should email a brief rationale to the </w:t>
      </w:r>
      <w:r w:rsidR="001A01A4">
        <w:t>PVC</w:t>
      </w:r>
      <w:r w:rsidR="00F05F5C">
        <w:t>. No action should be taken until a response is received</w:t>
      </w:r>
      <w:r w:rsidR="00852147">
        <w:t>.</w:t>
      </w:r>
    </w:p>
    <w:p w14:paraId="57B6C41D" w14:textId="77777777" w:rsidR="00CF1D2A" w:rsidRDefault="00CF1D2A" w:rsidP="00210732">
      <w:pPr>
        <w:spacing w:after="0"/>
      </w:pPr>
    </w:p>
    <w:sectPr w:rsidR="00CF1D2A" w:rsidSect="00581461">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AF56D" w14:textId="77777777" w:rsidR="00162362" w:rsidRDefault="00162362" w:rsidP="00162362">
      <w:pPr>
        <w:spacing w:after="0" w:line="240" w:lineRule="auto"/>
      </w:pPr>
      <w:r>
        <w:separator/>
      </w:r>
    </w:p>
  </w:endnote>
  <w:endnote w:type="continuationSeparator" w:id="0">
    <w:p w14:paraId="25BFD056" w14:textId="77777777" w:rsidR="00162362" w:rsidRDefault="00162362" w:rsidP="00162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676272"/>
      <w:docPartObj>
        <w:docPartGallery w:val="Page Numbers (Bottom of Page)"/>
        <w:docPartUnique/>
      </w:docPartObj>
    </w:sdtPr>
    <w:sdtEndPr>
      <w:rPr>
        <w:noProof/>
      </w:rPr>
    </w:sdtEndPr>
    <w:sdtContent>
      <w:p w14:paraId="744E1510" w14:textId="77777777" w:rsidR="00162362" w:rsidRDefault="00162362">
        <w:pPr>
          <w:pStyle w:val="Footer"/>
          <w:jc w:val="right"/>
        </w:pPr>
        <w:r>
          <w:fldChar w:fldCharType="begin"/>
        </w:r>
        <w:r>
          <w:instrText xml:space="preserve"> PAGE   \* MERGEFORMAT </w:instrText>
        </w:r>
        <w:r>
          <w:fldChar w:fldCharType="separate"/>
        </w:r>
        <w:r w:rsidR="009B57FA">
          <w:rPr>
            <w:noProof/>
          </w:rPr>
          <w:t>8</w:t>
        </w:r>
        <w:r>
          <w:rPr>
            <w:noProof/>
          </w:rPr>
          <w:fldChar w:fldCharType="end"/>
        </w:r>
      </w:p>
    </w:sdtContent>
  </w:sdt>
  <w:p w14:paraId="728AEF69" w14:textId="77777777" w:rsidR="00162362" w:rsidRDefault="00162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AA26D" w14:textId="77777777" w:rsidR="00162362" w:rsidRDefault="00162362" w:rsidP="00162362">
      <w:pPr>
        <w:spacing w:after="0" w:line="240" w:lineRule="auto"/>
      </w:pPr>
      <w:r>
        <w:separator/>
      </w:r>
    </w:p>
  </w:footnote>
  <w:footnote w:type="continuationSeparator" w:id="0">
    <w:p w14:paraId="1FD9C58E" w14:textId="77777777" w:rsidR="00162362" w:rsidRDefault="00162362" w:rsidP="00162362">
      <w:pPr>
        <w:spacing w:after="0" w:line="240" w:lineRule="auto"/>
      </w:pPr>
      <w:r>
        <w:continuationSeparator/>
      </w:r>
    </w:p>
  </w:footnote>
  <w:footnote w:id="1">
    <w:p w14:paraId="2AFAA492" w14:textId="5621CE05" w:rsidR="00B2677A" w:rsidRDefault="00B2677A" w:rsidP="00B2677A">
      <w:pPr>
        <w:pStyle w:val="FootnoteText"/>
      </w:pPr>
      <w:r>
        <w:rPr>
          <w:rStyle w:val="FootnoteReference"/>
        </w:rPr>
        <w:footnoteRef/>
      </w:r>
      <w:r>
        <w:t xml:space="preserve"> Faculty of Arts: </w:t>
      </w:r>
      <w:r w:rsidRPr="00104FFC">
        <w:rPr>
          <w:b/>
        </w:rPr>
        <w:t>Foundation Arts</w:t>
      </w:r>
      <w:r>
        <w:t xml:space="preserve">; School of </w:t>
      </w:r>
      <w:r w:rsidRPr="004B1E03">
        <w:rPr>
          <w:b/>
        </w:rPr>
        <w:t>English</w:t>
      </w:r>
      <w:r>
        <w:t xml:space="preserve">; School of </w:t>
      </w:r>
      <w:r>
        <w:rPr>
          <w:b/>
        </w:rPr>
        <w:t>Cultures, L</w:t>
      </w:r>
      <w:r w:rsidRPr="004B1E03">
        <w:rPr>
          <w:b/>
        </w:rPr>
        <w:t>anguages and Area Studies</w:t>
      </w:r>
      <w:r>
        <w:t xml:space="preserve"> (American and Canadian Studies; Culture, Film and Media; Modern Languages and Cultures) and School of </w:t>
      </w:r>
      <w:r w:rsidRPr="004B1E03">
        <w:rPr>
          <w:b/>
        </w:rPr>
        <w:t>Humanities</w:t>
      </w:r>
      <w:r>
        <w:t xml:space="preserve"> (Classics and Archaeology; History; History of Art; Music; Philosophy; Theology and Religious Studies)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581461" w14:paraId="63798C7A" w14:textId="77777777" w:rsidTr="00FF18C1">
      <w:tc>
        <w:tcPr>
          <w:tcW w:w="3681" w:type="dxa"/>
        </w:tcPr>
        <w:p w14:paraId="474D29A4" w14:textId="77777777" w:rsidR="00581461" w:rsidRDefault="00581461" w:rsidP="00581461">
          <w:pPr>
            <w:pStyle w:val="Header"/>
          </w:pPr>
          <w:r>
            <w:rPr>
              <w:noProof/>
              <w:lang w:eastAsia="en-GB"/>
            </w:rPr>
            <w:drawing>
              <wp:inline distT="0" distB="0" distL="0" distR="0" wp14:anchorId="490F0893" wp14:editId="60C8CA97">
                <wp:extent cx="1414870" cy="523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oN_Primary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0404" cy="529627"/>
                        </a:xfrm>
                        <a:prstGeom prst="rect">
                          <a:avLst/>
                        </a:prstGeom>
                      </pic:spPr>
                    </pic:pic>
                  </a:graphicData>
                </a:graphic>
              </wp:inline>
            </w:drawing>
          </w:r>
        </w:p>
      </w:tc>
      <w:tc>
        <w:tcPr>
          <w:tcW w:w="5335" w:type="dxa"/>
        </w:tcPr>
        <w:p w14:paraId="702B5E11" w14:textId="77777777" w:rsidR="00BE628F" w:rsidRDefault="00BE628F" w:rsidP="00581461">
          <w:pPr>
            <w:pStyle w:val="Header"/>
            <w:jc w:val="right"/>
          </w:pPr>
          <w:r>
            <w:t>Faculty of Arts</w:t>
          </w:r>
        </w:p>
        <w:p w14:paraId="76435BB5" w14:textId="2050CE08" w:rsidR="00581461" w:rsidRDefault="00581461" w:rsidP="00581461">
          <w:pPr>
            <w:pStyle w:val="Header"/>
            <w:jc w:val="right"/>
          </w:pPr>
          <w:r>
            <w:t>Casual Engagement Policy</w:t>
          </w:r>
        </w:p>
        <w:p w14:paraId="11221482" w14:textId="3943E83B" w:rsidR="00581461" w:rsidRDefault="00581461" w:rsidP="00C82941">
          <w:pPr>
            <w:pStyle w:val="Header"/>
            <w:jc w:val="right"/>
          </w:pPr>
          <w:r>
            <w:t xml:space="preserve">Version 1.6; updated : </w:t>
          </w:r>
          <w:r w:rsidR="00C82941">
            <w:t>14</w:t>
          </w:r>
          <w:r>
            <w:t>/8/2017</w:t>
          </w:r>
        </w:p>
      </w:tc>
    </w:tr>
  </w:tbl>
  <w:p w14:paraId="5B1410DC" w14:textId="4AC4A4D1" w:rsidR="00581461" w:rsidRDefault="005814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234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E67B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D80D4A"/>
    <w:multiLevelType w:val="hybridMultilevel"/>
    <w:tmpl w:val="F8D47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9784B"/>
    <w:multiLevelType w:val="hybridMultilevel"/>
    <w:tmpl w:val="44420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2C788B"/>
    <w:multiLevelType w:val="hybridMultilevel"/>
    <w:tmpl w:val="8542B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214F2"/>
    <w:multiLevelType w:val="hybridMultilevel"/>
    <w:tmpl w:val="82E61FE0"/>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1069"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8F4F20"/>
    <w:multiLevelType w:val="hybridMultilevel"/>
    <w:tmpl w:val="2030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AB45D4"/>
    <w:multiLevelType w:val="hybridMultilevel"/>
    <w:tmpl w:val="3090629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370046C7"/>
    <w:multiLevelType w:val="hybridMultilevel"/>
    <w:tmpl w:val="171C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612349"/>
    <w:multiLevelType w:val="hybridMultilevel"/>
    <w:tmpl w:val="E54C4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E25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0274AE"/>
    <w:multiLevelType w:val="hybridMultilevel"/>
    <w:tmpl w:val="20829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749FB"/>
    <w:multiLevelType w:val="hybridMultilevel"/>
    <w:tmpl w:val="ABB0F5C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3" w15:restartNumberingAfterBreak="0">
    <w:nsid w:val="51515F0D"/>
    <w:multiLevelType w:val="hybridMultilevel"/>
    <w:tmpl w:val="96969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FE3A12"/>
    <w:multiLevelType w:val="hybridMultilevel"/>
    <w:tmpl w:val="2BB0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71891"/>
    <w:multiLevelType w:val="hybridMultilevel"/>
    <w:tmpl w:val="7144AF84"/>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1069"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345910"/>
    <w:multiLevelType w:val="hybridMultilevel"/>
    <w:tmpl w:val="67C09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E2305A"/>
    <w:multiLevelType w:val="hybridMultilevel"/>
    <w:tmpl w:val="9A74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C043C2"/>
    <w:multiLevelType w:val="hybridMultilevel"/>
    <w:tmpl w:val="767A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DB4348"/>
    <w:multiLevelType w:val="multilevel"/>
    <w:tmpl w:val="F31AEFF0"/>
    <w:lvl w:ilvl="0">
      <w:start w:val="1"/>
      <w:numFmt w:val="decimal"/>
      <w:pStyle w:val="Heading1"/>
      <w:lvlText w:val="%1."/>
      <w:lvlJc w:val="left"/>
      <w:pPr>
        <w:ind w:left="643"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2368" w:hanging="720"/>
      </w:pPr>
      <w:rPr>
        <w:rFonts w:hint="default"/>
      </w:rPr>
    </w:lvl>
    <w:lvl w:ilvl="3">
      <w:start w:val="1"/>
      <w:numFmt w:val="decimal"/>
      <w:isLgl/>
      <w:lvlText w:val="%1.%2.%3.%4"/>
      <w:lvlJc w:val="left"/>
      <w:pPr>
        <w:ind w:left="3372" w:hanging="1080"/>
      </w:pPr>
      <w:rPr>
        <w:rFonts w:hint="default"/>
      </w:rPr>
    </w:lvl>
    <w:lvl w:ilvl="4">
      <w:start w:val="1"/>
      <w:numFmt w:val="decimal"/>
      <w:isLgl/>
      <w:lvlText w:val="%1.%2.%3.%4.%5"/>
      <w:lvlJc w:val="left"/>
      <w:pPr>
        <w:ind w:left="4376" w:hanging="1440"/>
      </w:pPr>
      <w:rPr>
        <w:rFonts w:hint="default"/>
      </w:rPr>
    </w:lvl>
    <w:lvl w:ilvl="5">
      <w:start w:val="1"/>
      <w:numFmt w:val="decimal"/>
      <w:isLgl/>
      <w:lvlText w:val="%1.%2.%3.%4.%5.%6"/>
      <w:lvlJc w:val="left"/>
      <w:pPr>
        <w:ind w:left="5020" w:hanging="1440"/>
      </w:pPr>
      <w:rPr>
        <w:rFonts w:hint="default"/>
      </w:rPr>
    </w:lvl>
    <w:lvl w:ilvl="6">
      <w:start w:val="1"/>
      <w:numFmt w:val="decimal"/>
      <w:isLgl/>
      <w:lvlText w:val="%1.%2.%3.%4.%5.%6.%7"/>
      <w:lvlJc w:val="left"/>
      <w:pPr>
        <w:ind w:left="6024" w:hanging="1800"/>
      </w:pPr>
      <w:rPr>
        <w:rFonts w:hint="default"/>
      </w:rPr>
    </w:lvl>
    <w:lvl w:ilvl="7">
      <w:start w:val="1"/>
      <w:numFmt w:val="decimal"/>
      <w:isLgl/>
      <w:lvlText w:val="%1.%2.%3.%4.%5.%6.%7.%8"/>
      <w:lvlJc w:val="left"/>
      <w:pPr>
        <w:ind w:left="7028" w:hanging="2160"/>
      </w:pPr>
      <w:rPr>
        <w:rFonts w:hint="default"/>
      </w:rPr>
    </w:lvl>
    <w:lvl w:ilvl="8">
      <w:start w:val="1"/>
      <w:numFmt w:val="decimal"/>
      <w:isLgl/>
      <w:lvlText w:val="%1.%2.%3.%4.%5.%6.%7.%8.%9"/>
      <w:lvlJc w:val="left"/>
      <w:pPr>
        <w:ind w:left="7672" w:hanging="2160"/>
      </w:pPr>
      <w:rPr>
        <w:rFonts w:hint="default"/>
      </w:rPr>
    </w:lvl>
  </w:abstractNum>
  <w:num w:numId="1">
    <w:abstractNumId w:val="13"/>
  </w:num>
  <w:num w:numId="2">
    <w:abstractNumId w:val="17"/>
  </w:num>
  <w:num w:numId="3">
    <w:abstractNumId w:val="6"/>
  </w:num>
  <w:num w:numId="4">
    <w:abstractNumId w:val="2"/>
  </w:num>
  <w:num w:numId="5">
    <w:abstractNumId w:val="3"/>
  </w:num>
  <w:num w:numId="6">
    <w:abstractNumId w:val="4"/>
  </w:num>
  <w:num w:numId="7">
    <w:abstractNumId w:val="18"/>
  </w:num>
  <w:num w:numId="8">
    <w:abstractNumId w:val="19"/>
  </w:num>
  <w:num w:numId="9">
    <w:abstractNumId w:val="5"/>
  </w:num>
  <w:num w:numId="10">
    <w:abstractNumId w:val="7"/>
  </w:num>
  <w:num w:numId="11">
    <w:abstractNumId w:val="19"/>
    <w:lvlOverride w:ilvl="0">
      <w:startOverride w:val="7"/>
    </w:lvlOverride>
    <w:lvlOverride w:ilvl="1">
      <w:startOverride w:val="2"/>
    </w:lvlOverride>
  </w:num>
  <w:num w:numId="12">
    <w:abstractNumId w:val="9"/>
  </w:num>
  <w:num w:numId="13">
    <w:abstractNumId w:val="14"/>
  </w:num>
  <w:num w:numId="14">
    <w:abstractNumId w:val="19"/>
  </w:num>
  <w:num w:numId="15">
    <w:abstractNumId w:val="10"/>
  </w:num>
  <w:num w:numId="16">
    <w:abstractNumId w:val="1"/>
  </w:num>
  <w:num w:numId="17">
    <w:abstractNumId w:val="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8"/>
  </w:num>
  <w:num w:numId="21">
    <w:abstractNumId w:val="12"/>
  </w:num>
  <w:num w:numId="22">
    <w:abstractNumId w:val="19"/>
  </w:num>
  <w:num w:numId="23">
    <w:abstractNumId w:val="19"/>
  </w:num>
  <w:num w:numId="24">
    <w:abstractNumId w:val="16"/>
  </w:num>
  <w:num w:numId="2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A2"/>
    <w:rsid w:val="00003E27"/>
    <w:rsid w:val="00015E13"/>
    <w:rsid w:val="00021E0C"/>
    <w:rsid w:val="00027B6A"/>
    <w:rsid w:val="00052D1F"/>
    <w:rsid w:val="0007683F"/>
    <w:rsid w:val="00083C70"/>
    <w:rsid w:val="000B3A8F"/>
    <w:rsid w:val="000C575B"/>
    <w:rsid w:val="000F3318"/>
    <w:rsid w:val="00102350"/>
    <w:rsid w:val="00104FFC"/>
    <w:rsid w:val="0012566C"/>
    <w:rsid w:val="00127362"/>
    <w:rsid w:val="00130293"/>
    <w:rsid w:val="00152C48"/>
    <w:rsid w:val="00160051"/>
    <w:rsid w:val="00162362"/>
    <w:rsid w:val="001627BD"/>
    <w:rsid w:val="00162D0E"/>
    <w:rsid w:val="001A01A4"/>
    <w:rsid w:val="001A1D15"/>
    <w:rsid w:val="001A67D3"/>
    <w:rsid w:val="001B27D1"/>
    <w:rsid w:val="001C2BB4"/>
    <w:rsid w:val="001E5917"/>
    <w:rsid w:val="001F71CE"/>
    <w:rsid w:val="00205DCF"/>
    <w:rsid w:val="00210732"/>
    <w:rsid w:val="002245EC"/>
    <w:rsid w:val="002430FF"/>
    <w:rsid w:val="00251F0C"/>
    <w:rsid w:val="00252A5E"/>
    <w:rsid w:val="00270B4A"/>
    <w:rsid w:val="00272123"/>
    <w:rsid w:val="00274EF5"/>
    <w:rsid w:val="00297DEA"/>
    <w:rsid w:val="002A61CE"/>
    <w:rsid w:val="002B1B5E"/>
    <w:rsid w:val="002C5868"/>
    <w:rsid w:val="003016EA"/>
    <w:rsid w:val="00311CFE"/>
    <w:rsid w:val="00320BA6"/>
    <w:rsid w:val="00324484"/>
    <w:rsid w:val="00346674"/>
    <w:rsid w:val="00350CD1"/>
    <w:rsid w:val="003573E0"/>
    <w:rsid w:val="003B3DE0"/>
    <w:rsid w:val="003C3820"/>
    <w:rsid w:val="003D004C"/>
    <w:rsid w:val="003D1245"/>
    <w:rsid w:val="003E3374"/>
    <w:rsid w:val="003F6195"/>
    <w:rsid w:val="00405B06"/>
    <w:rsid w:val="00410ED1"/>
    <w:rsid w:val="004160FF"/>
    <w:rsid w:val="0043073B"/>
    <w:rsid w:val="004344E4"/>
    <w:rsid w:val="00443948"/>
    <w:rsid w:val="004648A7"/>
    <w:rsid w:val="00467A59"/>
    <w:rsid w:val="0047263D"/>
    <w:rsid w:val="00480A9D"/>
    <w:rsid w:val="00494BC8"/>
    <w:rsid w:val="004A3657"/>
    <w:rsid w:val="004C19A0"/>
    <w:rsid w:val="004C2B3D"/>
    <w:rsid w:val="004C6401"/>
    <w:rsid w:val="004D4FCF"/>
    <w:rsid w:val="004D6D8F"/>
    <w:rsid w:val="004D7321"/>
    <w:rsid w:val="004E2C79"/>
    <w:rsid w:val="004E5B2F"/>
    <w:rsid w:val="00502C5F"/>
    <w:rsid w:val="0051756A"/>
    <w:rsid w:val="0052440D"/>
    <w:rsid w:val="0055142D"/>
    <w:rsid w:val="005518E7"/>
    <w:rsid w:val="00556E0E"/>
    <w:rsid w:val="0055731C"/>
    <w:rsid w:val="00560824"/>
    <w:rsid w:val="00573C26"/>
    <w:rsid w:val="005745A2"/>
    <w:rsid w:val="00581461"/>
    <w:rsid w:val="005827F5"/>
    <w:rsid w:val="005866F5"/>
    <w:rsid w:val="005905AE"/>
    <w:rsid w:val="00596126"/>
    <w:rsid w:val="005A7AA6"/>
    <w:rsid w:val="005B56BB"/>
    <w:rsid w:val="005C1577"/>
    <w:rsid w:val="005C1AB7"/>
    <w:rsid w:val="005D5C31"/>
    <w:rsid w:val="00610AEB"/>
    <w:rsid w:val="0062473D"/>
    <w:rsid w:val="0062599E"/>
    <w:rsid w:val="0062689C"/>
    <w:rsid w:val="0064576F"/>
    <w:rsid w:val="00670113"/>
    <w:rsid w:val="00692411"/>
    <w:rsid w:val="006D5FC6"/>
    <w:rsid w:val="006D7B5C"/>
    <w:rsid w:val="007069AC"/>
    <w:rsid w:val="00725C0E"/>
    <w:rsid w:val="007348B9"/>
    <w:rsid w:val="00741FDD"/>
    <w:rsid w:val="00766F4C"/>
    <w:rsid w:val="007754F9"/>
    <w:rsid w:val="007776E4"/>
    <w:rsid w:val="00780D67"/>
    <w:rsid w:val="00785C67"/>
    <w:rsid w:val="007B4A37"/>
    <w:rsid w:val="007D295F"/>
    <w:rsid w:val="007E16F9"/>
    <w:rsid w:val="007E4F0E"/>
    <w:rsid w:val="007F5B5B"/>
    <w:rsid w:val="007F796A"/>
    <w:rsid w:val="0080311E"/>
    <w:rsid w:val="0080578D"/>
    <w:rsid w:val="008147A2"/>
    <w:rsid w:val="00815DBB"/>
    <w:rsid w:val="00822779"/>
    <w:rsid w:val="008236CB"/>
    <w:rsid w:val="00836D5C"/>
    <w:rsid w:val="00852147"/>
    <w:rsid w:val="00854BD1"/>
    <w:rsid w:val="008B7F0F"/>
    <w:rsid w:val="008E1545"/>
    <w:rsid w:val="008F04C2"/>
    <w:rsid w:val="008F2B46"/>
    <w:rsid w:val="009211F7"/>
    <w:rsid w:val="00933575"/>
    <w:rsid w:val="00937C30"/>
    <w:rsid w:val="0094755B"/>
    <w:rsid w:val="0095316A"/>
    <w:rsid w:val="00957114"/>
    <w:rsid w:val="00964A0F"/>
    <w:rsid w:val="00973DFC"/>
    <w:rsid w:val="00983FDE"/>
    <w:rsid w:val="00984660"/>
    <w:rsid w:val="00985629"/>
    <w:rsid w:val="00992968"/>
    <w:rsid w:val="00997FAF"/>
    <w:rsid w:val="009A6FE9"/>
    <w:rsid w:val="009B4195"/>
    <w:rsid w:val="009B57FA"/>
    <w:rsid w:val="009C119B"/>
    <w:rsid w:val="009C4A19"/>
    <w:rsid w:val="009D496F"/>
    <w:rsid w:val="009D6962"/>
    <w:rsid w:val="009E1A99"/>
    <w:rsid w:val="009F2A62"/>
    <w:rsid w:val="00A007C4"/>
    <w:rsid w:val="00A0718E"/>
    <w:rsid w:val="00A2488C"/>
    <w:rsid w:val="00A45354"/>
    <w:rsid w:val="00A45B5B"/>
    <w:rsid w:val="00A87E44"/>
    <w:rsid w:val="00AD07C0"/>
    <w:rsid w:val="00AD1A6B"/>
    <w:rsid w:val="00AF59A0"/>
    <w:rsid w:val="00B03C07"/>
    <w:rsid w:val="00B11187"/>
    <w:rsid w:val="00B17709"/>
    <w:rsid w:val="00B217D6"/>
    <w:rsid w:val="00B2677A"/>
    <w:rsid w:val="00B33FB9"/>
    <w:rsid w:val="00B451A2"/>
    <w:rsid w:val="00B60739"/>
    <w:rsid w:val="00B757C5"/>
    <w:rsid w:val="00B80EEC"/>
    <w:rsid w:val="00B855AA"/>
    <w:rsid w:val="00B93629"/>
    <w:rsid w:val="00BA0A34"/>
    <w:rsid w:val="00BA0DAD"/>
    <w:rsid w:val="00BA3CEE"/>
    <w:rsid w:val="00BA45ED"/>
    <w:rsid w:val="00BB01DE"/>
    <w:rsid w:val="00BB44CC"/>
    <w:rsid w:val="00BC3E8E"/>
    <w:rsid w:val="00BC4C3A"/>
    <w:rsid w:val="00BD354A"/>
    <w:rsid w:val="00BD3949"/>
    <w:rsid w:val="00BE1DF6"/>
    <w:rsid w:val="00BE3744"/>
    <w:rsid w:val="00BE4571"/>
    <w:rsid w:val="00BE474D"/>
    <w:rsid w:val="00BE628F"/>
    <w:rsid w:val="00C41D50"/>
    <w:rsid w:val="00C45CCA"/>
    <w:rsid w:val="00C53A37"/>
    <w:rsid w:val="00C553C6"/>
    <w:rsid w:val="00C56B51"/>
    <w:rsid w:val="00C82941"/>
    <w:rsid w:val="00C87E00"/>
    <w:rsid w:val="00C92715"/>
    <w:rsid w:val="00CA61B0"/>
    <w:rsid w:val="00CC7DEA"/>
    <w:rsid w:val="00CD265E"/>
    <w:rsid w:val="00CE1BA0"/>
    <w:rsid w:val="00CF1D2A"/>
    <w:rsid w:val="00CF3C73"/>
    <w:rsid w:val="00D11F60"/>
    <w:rsid w:val="00D151F1"/>
    <w:rsid w:val="00D15547"/>
    <w:rsid w:val="00D17CCE"/>
    <w:rsid w:val="00D34663"/>
    <w:rsid w:val="00D4747D"/>
    <w:rsid w:val="00D62268"/>
    <w:rsid w:val="00D661E0"/>
    <w:rsid w:val="00D803C8"/>
    <w:rsid w:val="00D90FC8"/>
    <w:rsid w:val="00DC18BD"/>
    <w:rsid w:val="00DD65F6"/>
    <w:rsid w:val="00DE1275"/>
    <w:rsid w:val="00DE279C"/>
    <w:rsid w:val="00DF1FCC"/>
    <w:rsid w:val="00E02952"/>
    <w:rsid w:val="00E066D0"/>
    <w:rsid w:val="00E07E05"/>
    <w:rsid w:val="00E11F2A"/>
    <w:rsid w:val="00E15863"/>
    <w:rsid w:val="00E233DA"/>
    <w:rsid w:val="00E550BC"/>
    <w:rsid w:val="00E564F6"/>
    <w:rsid w:val="00E90A46"/>
    <w:rsid w:val="00ED0EEA"/>
    <w:rsid w:val="00ED59D1"/>
    <w:rsid w:val="00EF129A"/>
    <w:rsid w:val="00F05F5C"/>
    <w:rsid w:val="00F2408B"/>
    <w:rsid w:val="00F26A0D"/>
    <w:rsid w:val="00F46F01"/>
    <w:rsid w:val="00F55C4B"/>
    <w:rsid w:val="00F61333"/>
    <w:rsid w:val="00FA620C"/>
    <w:rsid w:val="00FA6BBF"/>
    <w:rsid w:val="00FC016C"/>
    <w:rsid w:val="00FD6F96"/>
    <w:rsid w:val="00FE5070"/>
    <w:rsid w:val="00FF6808"/>
    <w:rsid w:val="00FF6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328F8BC8"/>
  <w15:docId w15:val="{10885683-A2A5-4425-84A1-4365BC97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1A2"/>
    <w:rPr>
      <w:rFonts w:ascii="Verdana" w:hAnsi="Verdana"/>
      <w:sz w:val="20"/>
      <w:szCs w:val="20"/>
    </w:rPr>
  </w:style>
  <w:style w:type="paragraph" w:styleId="Heading1">
    <w:name w:val="heading 1"/>
    <w:basedOn w:val="Normal"/>
    <w:next w:val="Normal"/>
    <w:link w:val="Heading1Char"/>
    <w:uiPriority w:val="9"/>
    <w:qFormat/>
    <w:rsid w:val="00766F4C"/>
    <w:pPr>
      <w:numPr>
        <w:numId w:val="8"/>
      </w:numPr>
      <w:ind w:left="720"/>
      <w:outlineLvl w:val="0"/>
    </w:pPr>
    <w:rPr>
      <w:b/>
    </w:rPr>
  </w:style>
  <w:style w:type="paragraph" w:styleId="Heading2">
    <w:name w:val="heading 2"/>
    <w:basedOn w:val="Heading1"/>
    <w:next w:val="Normal"/>
    <w:link w:val="Heading2Char"/>
    <w:uiPriority w:val="9"/>
    <w:unhideWhenUsed/>
    <w:qFormat/>
    <w:rsid w:val="00973DFC"/>
    <w:pPr>
      <w:outlineLvl w:val="1"/>
    </w:pPr>
    <w:rPr>
      <w:b w:val="0"/>
      <w:i/>
    </w:rPr>
  </w:style>
  <w:style w:type="paragraph" w:styleId="Heading3">
    <w:name w:val="heading 3"/>
    <w:basedOn w:val="Heading2"/>
    <w:next w:val="Normal"/>
    <w:link w:val="Heading3Char"/>
    <w:uiPriority w:val="9"/>
    <w:unhideWhenUsed/>
    <w:qFormat/>
    <w:rsid w:val="00973DFC"/>
    <w:pPr>
      <w:outlineLvl w:val="2"/>
    </w:pPr>
    <w:rPr>
      <w:b/>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F4C"/>
    <w:rPr>
      <w:rFonts w:ascii="Verdana" w:hAnsi="Verdana"/>
      <w:b/>
      <w:sz w:val="20"/>
      <w:szCs w:val="20"/>
    </w:rPr>
  </w:style>
  <w:style w:type="character" w:customStyle="1" w:styleId="Heading2Char">
    <w:name w:val="Heading 2 Char"/>
    <w:basedOn w:val="DefaultParagraphFont"/>
    <w:link w:val="Heading2"/>
    <w:uiPriority w:val="9"/>
    <w:rsid w:val="00973DFC"/>
    <w:rPr>
      <w:rFonts w:ascii="Verdana" w:hAnsi="Verdana"/>
      <w:i/>
      <w:sz w:val="20"/>
      <w:szCs w:val="20"/>
    </w:rPr>
  </w:style>
  <w:style w:type="character" w:customStyle="1" w:styleId="Heading3Char">
    <w:name w:val="Heading 3 Char"/>
    <w:basedOn w:val="DefaultParagraphFont"/>
    <w:link w:val="Heading3"/>
    <w:uiPriority w:val="9"/>
    <w:rsid w:val="00973DFC"/>
    <w:rPr>
      <w:rFonts w:ascii="Verdana" w:hAnsi="Verdana"/>
      <w:b/>
      <w:sz w:val="20"/>
      <w:szCs w:val="20"/>
    </w:rPr>
  </w:style>
  <w:style w:type="paragraph" w:styleId="Title">
    <w:name w:val="Title"/>
    <w:basedOn w:val="Heading3"/>
    <w:next w:val="Normal"/>
    <w:link w:val="TitleChar"/>
    <w:uiPriority w:val="10"/>
    <w:qFormat/>
    <w:rsid w:val="00973DFC"/>
    <w:rPr>
      <w:sz w:val="28"/>
    </w:rPr>
  </w:style>
  <w:style w:type="character" w:customStyle="1" w:styleId="TitleChar">
    <w:name w:val="Title Char"/>
    <w:basedOn w:val="DefaultParagraphFont"/>
    <w:link w:val="Title"/>
    <w:uiPriority w:val="10"/>
    <w:rsid w:val="00973DFC"/>
    <w:rPr>
      <w:rFonts w:ascii="Verdana" w:hAnsi="Verdana"/>
      <w:b/>
      <w:sz w:val="28"/>
      <w:szCs w:val="20"/>
    </w:rPr>
  </w:style>
  <w:style w:type="paragraph" w:styleId="Quote">
    <w:name w:val="Quote"/>
    <w:basedOn w:val="Normal"/>
    <w:next w:val="Normal"/>
    <w:link w:val="QuoteChar"/>
    <w:uiPriority w:val="29"/>
    <w:qFormat/>
    <w:rsid w:val="00973DFC"/>
    <w:rPr>
      <w:i/>
      <w:iCs/>
      <w:color w:val="000000" w:themeColor="text1"/>
    </w:rPr>
  </w:style>
  <w:style w:type="character" w:customStyle="1" w:styleId="QuoteChar">
    <w:name w:val="Quote Char"/>
    <w:basedOn w:val="DefaultParagraphFont"/>
    <w:link w:val="Quote"/>
    <w:uiPriority w:val="29"/>
    <w:rsid w:val="00973DFC"/>
    <w:rPr>
      <w:rFonts w:ascii="Verdana" w:hAnsi="Verdana"/>
      <w:i/>
      <w:iCs/>
      <w:color w:val="000000" w:themeColor="text1"/>
      <w:sz w:val="20"/>
      <w:szCs w:val="20"/>
    </w:rPr>
  </w:style>
  <w:style w:type="paragraph" w:styleId="ListParagraph">
    <w:name w:val="List Paragraph"/>
    <w:basedOn w:val="Normal"/>
    <w:uiPriority w:val="34"/>
    <w:qFormat/>
    <w:rsid w:val="00B451A2"/>
    <w:pPr>
      <w:ind w:left="720"/>
      <w:contextualSpacing/>
    </w:pPr>
  </w:style>
  <w:style w:type="character" w:styleId="Emphasis">
    <w:name w:val="Emphasis"/>
    <w:basedOn w:val="DefaultParagraphFont"/>
    <w:uiPriority w:val="20"/>
    <w:qFormat/>
    <w:rsid w:val="00494BC8"/>
    <w:rPr>
      <w:i/>
      <w:iCs/>
    </w:rPr>
  </w:style>
  <w:style w:type="character" w:styleId="SubtleEmphasis">
    <w:name w:val="Subtle Emphasis"/>
    <w:basedOn w:val="DefaultParagraphFont"/>
    <w:uiPriority w:val="19"/>
    <w:qFormat/>
    <w:rsid w:val="00494BC8"/>
    <w:rPr>
      <w:i/>
      <w:iCs/>
      <w:color w:val="808080" w:themeColor="text1" w:themeTint="7F"/>
    </w:rPr>
  </w:style>
  <w:style w:type="character" w:styleId="IntenseEmphasis">
    <w:name w:val="Intense Emphasis"/>
    <w:basedOn w:val="DefaultParagraphFont"/>
    <w:uiPriority w:val="21"/>
    <w:qFormat/>
    <w:rsid w:val="00494BC8"/>
    <w:rPr>
      <w:b/>
      <w:bCs/>
      <w:i/>
      <w:iCs/>
      <w:color w:val="4F81BD" w:themeColor="accent1"/>
    </w:rPr>
  </w:style>
  <w:style w:type="paragraph" w:styleId="Header">
    <w:name w:val="header"/>
    <w:basedOn w:val="Normal"/>
    <w:link w:val="HeaderChar"/>
    <w:uiPriority w:val="99"/>
    <w:unhideWhenUsed/>
    <w:rsid w:val="00162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62"/>
    <w:rPr>
      <w:rFonts w:ascii="Verdana" w:hAnsi="Verdana"/>
      <w:sz w:val="20"/>
      <w:szCs w:val="20"/>
    </w:rPr>
  </w:style>
  <w:style w:type="paragraph" w:styleId="Footer">
    <w:name w:val="footer"/>
    <w:basedOn w:val="Normal"/>
    <w:link w:val="FooterChar"/>
    <w:uiPriority w:val="99"/>
    <w:unhideWhenUsed/>
    <w:rsid w:val="00162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62"/>
    <w:rPr>
      <w:rFonts w:ascii="Verdana" w:hAnsi="Verdana"/>
      <w:sz w:val="20"/>
      <w:szCs w:val="20"/>
    </w:rPr>
  </w:style>
  <w:style w:type="paragraph" w:styleId="BalloonText">
    <w:name w:val="Balloon Text"/>
    <w:basedOn w:val="Normal"/>
    <w:link w:val="BalloonTextChar"/>
    <w:uiPriority w:val="99"/>
    <w:semiHidden/>
    <w:unhideWhenUsed/>
    <w:rsid w:val="00766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F4C"/>
    <w:rPr>
      <w:rFonts w:ascii="Tahoma" w:hAnsi="Tahoma" w:cs="Tahoma"/>
      <w:sz w:val="16"/>
      <w:szCs w:val="16"/>
    </w:rPr>
  </w:style>
  <w:style w:type="paragraph" w:styleId="FootnoteText">
    <w:name w:val="footnote text"/>
    <w:basedOn w:val="Normal"/>
    <w:link w:val="FootnoteTextChar"/>
    <w:uiPriority w:val="99"/>
    <w:semiHidden/>
    <w:unhideWhenUsed/>
    <w:rsid w:val="003F6195"/>
    <w:pPr>
      <w:spacing w:after="0" w:line="240" w:lineRule="auto"/>
    </w:pPr>
  </w:style>
  <w:style w:type="character" w:customStyle="1" w:styleId="FootnoteTextChar">
    <w:name w:val="Footnote Text Char"/>
    <w:basedOn w:val="DefaultParagraphFont"/>
    <w:link w:val="FootnoteText"/>
    <w:uiPriority w:val="99"/>
    <w:semiHidden/>
    <w:rsid w:val="003F6195"/>
    <w:rPr>
      <w:rFonts w:ascii="Verdana" w:hAnsi="Verdana"/>
      <w:sz w:val="20"/>
      <w:szCs w:val="20"/>
    </w:rPr>
  </w:style>
  <w:style w:type="character" w:styleId="FootnoteReference">
    <w:name w:val="footnote reference"/>
    <w:basedOn w:val="DefaultParagraphFont"/>
    <w:uiPriority w:val="99"/>
    <w:semiHidden/>
    <w:unhideWhenUsed/>
    <w:rsid w:val="003F6195"/>
    <w:rPr>
      <w:vertAlign w:val="superscript"/>
    </w:rPr>
  </w:style>
  <w:style w:type="character" w:styleId="CommentReference">
    <w:name w:val="annotation reference"/>
    <w:basedOn w:val="DefaultParagraphFont"/>
    <w:uiPriority w:val="99"/>
    <w:semiHidden/>
    <w:unhideWhenUsed/>
    <w:rsid w:val="008F2B46"/>
    <w:rPr>
      <w:sz w:val="16"/>
      <w:szCs w:val="16"/>
    </w:rPr>
  </w:style>
  <w:style w:type="paragraph" w:styleId="CommentText">
    <w:name w:val="annotation text"/>
    <w:basedOn w:val="Normal"/>
    <w:link w:val="CommentTextChar"/>
    <w:uiPriority w:val="99"/>
    <w:semiHidden/>
    <w:unhideWhenUsed/>
    <w:rsid w:val="008F2B46"/>
    <w:pPr>
      <w:spacing w:line="240" w:lineRule="auto"/>
    </w:pPr>
  </w:style>
  <w:style w:type="character" w:customStyle="1" w:styleId="CommentTextChar">
    <w:name w:val="Comment Text Char"/>
    <w:basedOn w:val="DefaultParagraphFont"/>
    <w:link w:val="CommentText"/>
    <w:uiPriority w:val="99"/>
    <w:semiHidden/>
    <w:rsid w:val="008F2B46"/>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F2B46"/>
    <w:rPr>
      <w:b/>
      <w:bCs/>
    </w:rPr>
  </w:style>
  <w:style w:type="character" w:customStyle="1" w:styleId="CommentSubjectChar">
    <w:name w:val="Comment Subject Char"/>
    <w:basedOn w:val="CommentTextChar"/>
    <w:link w:val="CommentSubject"/>
    <w:uiPriority w:val="99"/>
    <w:semiHidden/>
    <w:rsid w:val="008F2B46"/>
    <w:rPr>
      <w:rFonts w:ascii="Verdana" w:hAnsi="Verdana"/>
      <w:b/>
      <w:bCs/>
      <w:sz w:val="20"/>
      <w:szCs w:val="20"/>
    </w:rPr>
  </w:style>
  <w:style w:type="character" w:styleId="Hyperlink">
    <w:name w:val="Hyperlink"/>
    <w:basedOn w:val="DefaultParagraphFont"/>
    <w:uiPriority w:val="99"/>
    <w:unhideWhenUsed/>
    <w:rsid w:val="00785C67"/>
    <w:rPr>
      <w:color w:val="0000FF" w:themeColor="hyperlink"/>
      <w:u w:val="single"/>
    </w:rPr>
  </w:style>
  <w:style w:type="table" w:styleId="TableGrid">
    <w:name w:val="Table Grid"/>
    <w:basedOn w:val="TableNormal"/>
    <w:uiPriority w:val="59"/>
    <w:rsid w:val="00581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856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798159">
      <w:bodyDiv w:val="1"/>
      <w:marLeft w:val="0"/>
      <w:marRight w:val="0"/>
      <w:marTop w:val="0"/>
      <w:marBottom w:val="0"/>
      <w:divBdr>
        <w:top w:val="none" w:sz="0" w:space="0" w:color="auto"/>
        <w:left w:val="none" w:sz="0" w:space="0" w:color="auto"/>
        <w:bottom w:val="none" w:sz="0" w:space="0" w:color="auto"/>
        <w:right w:val="none" w:sz="0" w:space="0" w:color="auto"/>
      </w:divBdr>
    </w:div>
    <w:div w:id="1567648565">
      <w:bodyDiv w:val="1"/>
      <w:marLeft w:val="0"/>
      <w:marRight w:val="0"/>
      <w:marTop w:val="0"/>
      <w:marBottom w:val="0"/>
      <w:divBdr>
        <w:top w:val="none" w:sz="0" w:space="0" w:color="auto"/>
        <w:left w:val="none" w:sz="0" w:space="0" w:color="auto"/>
        <w:bottom w:val="none" w:sz="0" w:space="0" w:color="auto"/>
        <w:right w:val="none" w:sz="0" w:space="0" w:color="auto"/>
      </w:divBdr>
    </w:div>
    <w:div w:id="162951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tingham.ac.uk/arts/careers/casual-engagement-policy.aspx" TargetMode="External"/><Relationship Id="rId13" Type="http://schemas.openxmlformats.org/officeDocument/2006/relationships/hyperlink" Target="http://www.nottingham.ac.uk/arts/careers/casual-engagement-policy.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orkspace.nottingham.ac.uk/pages/viewpage.action?spaceKey=Arts&amp;title=Casual+Worke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ttingham.ac.uk/hr/guidesandsupport/recruitmentandinduction/engagement-types/casual-workers/index.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ottingham.ac.uk/academicservices/qualitymanual/researchdegreeprogrammes/policy-on-students-who-teach.aspx" TargetMode="External"/><Relationship Id="rId4" Type="http://schemas.openxmlformats.org/officeDocument/2006/relationships/settings" Target="settings.xml"/><Relationship Id="rId9" Type="http://schemas.openxmlformats.org/officeDocument/2006/relationships/hyperlink" Target="https://www.ukcisa.org.uk/Information--Advice/Working/Can-you-work" TargetMode="External"/><Relationship Id="rId14" Type="http://schemas.openxmlformats.org/officeDocument/2006/relationships/hyperlink" Target="https://www.nottingham.ac.uk/fabs/finance/forms/index.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A71CE-5C64-4830-9128-B3328672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2611</Words>
  <Characters>14887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17464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Zoe</dc:creator>
  <cp:lastModifiedBy>Frost Helen</cp:lastModifiedBy>
  <cp:revision>2</cp:revision>
  <dcterms:created xsi:type="dcterms:W3CDTF">2017-09-07T13:13:00Z</dcterms:created>
  <dcterms:modified xsi:type="dcterms:W3CDTF">2017-09-07T13:13:00Z</dcterms:modified>
</cp:coreProperties>
</file>