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46E10" w14:textId="77777777" w:rsidR="000376F1" w:rsidRDefault="000376F1" w:rsidP="006A6604">
      <w:pPr>
        <w:tabs>
          <w:tab w:val="left" w:pos="426"/>
        </w:tabs>
        <w:spacing w:line="276" w:lineRule="auto"/>
        <w:jc w:val="center"/>
        <w:rPr>
          <w:rFonts w:ascii="Arial" w:hAnsi="Arial" w:cs="Arial"/>
          <w:b/>
          <w:sz w:val="20"/>
          <w:szCs w:val="20"/>
        </w:rPr>
      </w:pPr>
    </w:p>
    <w:p w14:paraId="020E0583" w14:textId="34634A22" w:rsidR="008A5F8E" w:rsidRPr="00D36D4D" w:rsidRDefault="00A34B54" w:rsidP="006A6604">
      <w:pPr>
        <w:tabs>
          <w:tab w:val="left" w:pos="426"/>
        </w:tabs>
        <w:spacing w:line="276" w:lineRule="auto"/>
        <w:jc w:val="center"/>
        <w:rPr>
          <w:rFonts w:ascii="Arial" w:hAnsi="Arial" w:cs="Arial"/>
          <w:b/>
          <w:sz w:val="20"/>
          <w:szCs w:val="20"/>
        </w:rPr>
      </w:pPr>
      <w:r>
        <w:rPr>
          <w:rFonts w:ascii="Arial" w:hAnsi="Arial" w:cs="Arial"/>
          <w:b/>
          <w:sz w:val="20"/>
          <w:szCs w:val="20"/>
        </w:rPr>
        <w:t xml:space="preserve">Faculty of Arts </w:t>
      </w:r>
      <w:r w:rsidR="00FA5A79" w:rsidRPr="00D36D4D">
        <w:rPr>
          <w:rFonts w:ascii="Arial" w:hAnsi="Arial" w:cs="Arial"/>
          <w:b/>
          <w:sz w:val="20"/>
          <w:szCs w:val="20"/>
        </w:rPr>
        <w:t>Code of Practice on working with T</w:t>
      </w:r>
      <w:r w:rsidR="004C4E8D" w:rsidRPr="00D36D4D">
        <w:rPr>
          <w:rFonts w:ascii="Arial" w:hAnsi="Arial" w:cs="Arial"/>
          <w:b/>
          <w:sz w:val="20"/>
          <w:szCs w:val="20"/>
        </w:rPr>
        <w:t xml:space="preserve">eaching </w:t>
      </w:r>
      <w:r w:rsidR="00FA5A79" w:rsidRPr="00D36D4D">
        <w:rPr>
          <w:rFonts w:ascii="Arial" w:hAnsi="Arial" w:cs="Arial"/>
          <w:b/>
          <w:sz w:val="20"/>
          <w:szCs w:val="20"/>
        </w:rPr>
        <w:t>A</w:t>
      </w:r>
      <w:r w:rsidR="004C4E8D" w:rsidRPr="00D36D4D">
        <w:rPr>
          <w:rFonts w:ascii="Arial" w:hAnsi="Arial" w:cs="Arial"/>
          <w:b/>
          <w:sz w:val="20"/>
          <w:szCs w:val="20"/>
        </w:rPr>
        <w:t>ffiliates</w:t>
      </w:r>
      <w:r w:rsidR="004166B9" w:rsidRPr="00D36D4D">
        <w:rPr>
          <w:rFonts w:ascii="Arial" w:hAnsi="Arial" w:cs="Arial"/>
          <w:b/>
          <w:sz w:val="20"/>
          <w:szCs w:val="20"/>
        </w:rPr>
        <w:t xml:space="preserve"> (TAs)</w:t>
      </w:r>
    </w:p>
    <w:p w14:paraId="560575E4" w14:textId="77777777" w:rsidR="00647640" w:rsidRPr="00D36D4D" w:rsidRDefault="00647640" w:rsidP="0084327B">
      <w:pPr>
        <w:spacing w:line="276" w:lineRule="auto"/>
        <w:rPr>
          <w:rFonts w:ascii="Arial" w:hAnsi="Arial" w:cs="Arial"/>
          <w:sz w:val="20"/>
          <w:szCs w:val="20"/>
        </w:rPr>
      </w:pPr>
    </w:p>
    <w:p w14:paraId="2A8892B5" w14:textId="66F8AD47" w:rsidR="00647640" w:rsidRPr="00D36D4D" w:rsidRDefault="00647640" w:rsidP="0084327B">
      <w:pPr>
        <w:spacing w:line="276" w:lineRule="auto"/>
        <w:rPr>
          <w:rFonts w:ascii="Arial" w:hAnsi="Arial" w:cs="Arial"/>
          <w:b/>
          <w:sz w:val="20"/>
          <w:szCs w:val="20"/>
        </w:rPr>
      </w:pPr>
      <w:r w:rsidRPr="00D36D4D">
        <w:rPr>
          <w:rFonts w:ascii="Arial" w:hAnsi="Arial" w:cs="Arial"/>
          <w:b/>
          <w:sz w:val="20"/>
          <w:szCs w:val="20"/>
        </w:rPr>
        <w:t xml:space="preserve">Head of </w:t>
      </w:r>
      <w:r w:rsidR="004166B9" w:rsidRPr="00D36D4D">
        <w:rPr>
          <w:rFonts w:ascii="Arial" w:hAnsi="Arial" w:cs="Arial"/>
          <w:b/>
          <w:sz w:val="20"/>
          <w:szCs w:val="20"/>
        </w:rPr>
        <w:t>School/</w:t>
      </w:r>
      <w:r w:rsidR="004C4E8D" w:rsidRPr="00D36D4D">
        <w:rPr>
          <w:rFonts w:ascii="Arial" w:hAnsi="Arial" w:cs="Arial"/>
          <w:b/>
          <w:sz w:val="20"/>
          <w:szCs w:val="20"/>
        </w:rPr>
        <w:t>D</w:t>
      </w:r>
      <w:r w:rsidRPr="00D36D4D">
        <w:rPr>
          <w:rFonts w:ascii="Arial" w:hAnsi="Arial" w:cs="Arial"/>
          <w:b/>
          <w:sz w:val="20"/>
          <w:szCs w:val="20"/>
        </w:rPr>
        <w:t>epartment</w:t>
      </w:r>
      <w:r w:rsidR="009A573C" w:rsidRPr="00D36D4D">
        <w:rPr>
          <w:rFonts w:ascii="Arial" w:hAnsi="Arial" w:cs="Arial"/>
          <w:b/>
          <w:sz w:val="20"/>
          <w:szCs w:val="20"/>
        </w:rPr>
        <w:t xml:space="preserve"> (or designated colleague)</w:t>
      </w:r>
      <w:r w:rsidR="004C4E8D" w:rsidRPr="00D36D4D">
        <w:rPr>
          <w:rFonts w:ascii="Arial" w:hAnsi="Arial" w:cs="Arial"/>
          <w:b/>
          <w:sz w:val="20"/>
          <w:szCs w:val="20"/>
        </w:rPr>
        <w:t xml:space="preserve"> responsibilities</w:t>
      </w:r>
    </w:p>
    <w:p w14:paraId="43714E90" w14:textId="4E901B63" w:rsidR="00DE5BFE" w:rsidRPr="00D36D4D" w:rsidRDefault="563A687C" w:rsidP="563A687C">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rPr>
        <w:t>All TAs should be given a mentor, who must be a member of academic staff, distinct form their PhD supervisor and/or the Module Convenor, who can provide guidance and advice to aid integration. In cases where the TA is contributing to a module convened by someone else, the mentor could be the convenor.</w:t>
      </w:r>
    </w:p>
    <w:p w14:paraId="2F640C06" w14:textId="77777777" w:rsidR="00CD3023" w:rsidRPr="00D36D4D" w:rsidRDefault="00CD3023" w:rsidP="0084327B">
      <w:pPr>
        <w:pStyle w:val="ListParagraph"/>
        <w:spacing w:line="276" w:lineRule="auto"/>
        <w:ind w:left="0"/>
        <w:rPr>
          <w:rFonts w:ascii="Arial" w:hAnsi="Arial" w:cs="Arial"/>
          <w:sz w:val="20"/>
          <w:szCs w:val="20"/>
        </w:rPr>
      </w:pPr>
    </w:p>
    <w:p w14:paraId="307A0EF8" w14:textId="38EEC8BC" w:rsidR="00AD785D" w:rsidRPr="00D36D4D" w:rsidRDefault="75F70C9A" w:rsidP="75F70C9A">
      <w:pPr>
        <w:pStyle w:val="ListParagraph"/>
        <w:numPr>
          <w:ilvl w:val="0"/>
          <w:numId w:val="4"/>
        </w:numPr>
        <w:spacing w:line="276" w:lineRule="auto"/>
        <w:ind w:left="0" w:hanging="357"/>
        <w:rPr>
          <w:rFonts w:ascii="Arial" w:hAnsi="Arial" w:cs="Arial"/>
          <w:sz w:val="20"/>
          <w:szCs w:val="20"/>
        </w:rPr>
      </w:pPr>
      <w:r w:rsidRPr="75F70C9A">
        <w:rPr>
          <w:rFonts w:ascii="Arial" w:hAnsi="Arial" w:cs="Arial"/>
          <w:sz w:val="20"/>
          <w:szCs w:val="20"/>
          <w:lang w:val="en-US"/>
        </w:rPr>
        <w:t>TAs should be appraised annually through Student Evaluation of Teaching (SET) and peer observation for career development purposes.</w:t>
      </w:r>
    </w:p>
    <w:p w14:paraId="06730D83" w14:textId="77777777" w:rsidR="00AD785D" w:rsidRPr="00D36D4D" w:rsidRDefault="00AD785D" w:rsidP="00AD785D">
      <w:pPr>
        <w:pStyle w:val="ListParagraph"/>
        <w:rPr>
          <w:rFonts w:ascii="Arial" w:hAnsi="Arial" w:cs="Arial"/>
          <w:sz w:val="20"/>
          <w:szCs w:val="20"/>
        </w:rPr>
      </w:pPr>
    </w:p>
    <w:p w14:paraId="3619E9C2" w14:textId="0D52B9AF" w:rsidR="008C5897" w:rsidRPr="00D36D4D" w:rsidRDefault="00AD785D" w:rsidP="00AD785D">
      <w:pPr>
        <w:pStyle w:val="ListParagraph"/>
        <w:numPr>
          <w:ilvl w:val="0"/>
          <w:numId w:val="4"/>
        </w:numPr>
        <w:spacing w:line="276" w:lineRule="auto"/>
        <w:ind w:left="0" w:hanging="357"/>
        <w:rPr>
          <w:rFonts w:ascii="Arial" w:hAnsi="Arial" w:cs="Arial"/>
          <w:sz w:val="20"/>
          <w:szCs w:val="20"/>
        </w:rPr>
      </w:pPr>
      <w:r w:rsidRPr="00D36D4D">
        <w:rPr>
          <w:rFonts w:ascii="Arial" w:hAnsi="Arial" w:cs="Arial"/>
          <w:sz w:val="20"/>
          <w:szCs w:val="20"/>
        </w:rPr>
        <w:t xml:space="preserve">In addition to the annual processes </w:t>
      </w:r>
      <w:r w:rsidR="00B122CF" w:rsidRPr="00D36D4D">
        <w:rPr>
          <w:rFonts w:ascii="Arial" w:hAnsi="Arial" w:cs="Arial"/>
          <w:sz w:val="20"/>
          <w:szCs w:val="20"/>
        </w:rPr>
        <w:t xml:space="preserve">TAs </w:t>
      </w:r>
      <w:r w:rsidRPr="00D36D4D">
        <w:rPr>
          <w:rFonts w:ascii="Arial" w:hAnsi="Arial" w:cs="Arial"/>
          <w:sz w:val="20"/>
          <w:szCs w:val="20"/>
        </w:rPr>
        <w:t>should</w:t>
      </w:r>
      <w:r w:rsidR="00B122CF" w:rsidRPr="00D36D4D">
        <w:rPr>
          <w:rFonts w:ascii="Arial" w:hAnsi="Arial" w:cs="Arial"/>
          <w:sz w:val="20"/>
          <w:szCs w:val="20"/>
        </w:rPr>
        <w:t xml:space="preserve"> receive constructive and regular feedback on their performance (including strengths and weaknesses) by the mentor or another member of academic staff</w:t>
      </w:r>
      <w:r w:rsidR="00012FDA" w:rsidRPr="00D36D4D">
        <w:rPr>
          <w:rFonts w:ascii="Arial" w:hAnsi="Arial" w:cs="Arial"/>
          <w:sz w:val="20"/>
          <w:szCs w:val="20"/>
        </w:rPr>
        <w:t>.</w:t>
      </w:r>
    </w:p>
    <w:p w14:paraId="42C5B835" w14:textId="77777777" w:rsidR="000C62ED" w:rsidRPr="00D36D4D" w:rsidRDefault="000C62ED" w:rsidP="0084327B">
      <w:pPr>
        <w:pStyle w:val="ListParagraph"/>
        <w:spacing w:line="276" w:lineRule="auto"/>
        <w:ind w:left="0"/>
        <w:rPr>
          <w:rFonts w:ascii="Arial" w:hAnsi="Arial" w:cs="Arial"/>
          <w:sz w:val="20"/>
          <w:szCs w:val="20"/>
        </w:rPr>
      </w:pPr>
    </w:p>
    <w:p w14:paraId="3437B404" w14:textId="784CF22F" w:rsidR="000C62ED" w:rsidRPr="00D36D4D" w:rsidRDefault="00340B34" w:rsidP="0084327B">
      <w:pPr>
        <w:pStyle w:val="ListParagraph"/>
        <w:numPr>
          <w:ilvl w:val="0"/>
          <w:numId w:val="4"/>
        </w:numPr>
        <w:spacing w:line="276" w:lineRule="auto"/>
        <w:ind w:left="0" w:hanging="357"/>
        <w:rPr>
          <w:rFonts w:ascii="Arial" w:hAnsi="Arial" w:cs="Arial"/>
          <w:sz w:val="20"/>
          <w:szCs w:val="20"/>
        </w:rPr>
      </w:pPr>
      <w:r w:rsidRPr="00D36D4D">
        <w:rPr>
          <w:rFonts w:ascii="Arial" w:hAnsi="Arial" w:cs="Arial"/>
          <w:sz w:val="20"/>
          <w:szCs w:val="20"/>
          <w:lang w:val="en-US"/>
        </w:rPr>
        <w:t xml:space="preserve">Mentors should offer advice and support to TAs on teaching matters, bearing in mind the important role of teaching in the professional development of </w:t>
      </w:r>
      <w:proofErr w:type="spellStart"/>
      <w:proofErr w:type="gramStart"/>
      <w:r w:rsidRPr="00D36D4D">
        <w:rPr>
          <w:rFonts w:ascii="Arial" w:hAnsi="Arial" w:cs="Arial"/>
          <w:sz w:val="20"/>
          <w:szCs w:val="20"/>
          <w:lang w:val="en-US"/>
        </w:rPr>
        <w:t>TAs.</w:t>
      </w:r>
      <w:proofErr w:type="spellEnd"/>
      <w:proofErr w:type="gramEnd"/>
    </w:p>
    <w:p w14:paraId="3638984E" w14:textId="77777777" w:rsidR="000C62ED" w:rsidRPr="00D36D4D" w:rsidRDefault="000C62ED" w:rsidP="0084327B">
      <w:pPr>
        <w:pStyle w:val="ListParagraph"/>
        <w:spacing w:line="276" w:lineRule="auto"/>
        <w:ind w:left="0"/>
        <w:rPr>
          <w:rFonts w:ascii="Arial" w:hAnsi="Arial" w:cs="Arial"/>
          <w:sz w:val="20"/>
          <w:szCs w:val="20"/>
        </w:rPr>
      </w:pPr>
    </w:p>
    <w:p w14:paraId="664506EF" w14:textId="6BA90D7B" w:rsidR="00647640" w:rsidRPr="00D36D4D" w:rsidRDefault="563A687C" w:rsidP="563A687C">
      <w:pPr>
        <w:pStyle w:val="ListParagraph"/>
        <w:numPr>
          <w:ilvl w:val="0"/>
          <w:numId w:val="4"/>
        </w:numPr>
        <w:spacing w:line="276" w:lineRule="auto"/>
        <w:ind w:left="0" w:hanging="357"/>
        <w:rPr>
          <w:rFonts w:ascii="Arial" w:hAnsi="Arial" w:cs="Arial"/>
          <w:sz w:val="20"/>
          <w:szCs w:val="20"/>
        </w:rPr>
      </w:pPr>
      <w:proofErr w:type="spellStart"/>
      <w:r w:rsidRPr="563A687C">
        <w:rPr>
          <w:rFonts w:ascii="Arial" w:hAnsi="Arial" w:cs="Arial"/>
          <w:sz w:val="20"/>
          <w:szCs w:val="20"/>
          <w:lang w:val="en-US"/>
        </w:rPr>
        <w:t>HoS</w:t>
      </w:r>
      <w:proofErr w:type="spellEnd"/>
      <w:r w:rsidRPr="563A687C">
        <w:rPr>
          <w:rFonts w:ascii="Arial" w:hAnsi="Arial" w:cs="Arial"/>
          <w:sz w:val="20"/>
          <w:szCs w:val="20"/>
          <w:lang w:val="en-US"/>
        </w:rPr>
        <w:t>/</w:t>
      </w:r>
      <w:proofErr w:type="spellStart"/>
      <w:r w:rsidRPr="563A687C">
        <w:rPr>
          <w:rFonts w:ascii="Arial" w:hAnsi="Arial" w:cs="Arial"/>
          <w:sz w:val="20"/>
          <w:szCs w:val="20"/>
          <w:lang w:val="en-US"/>
        </w:rPr>
        <w:t>HoD</w:t>
      </w:r>
      <w:proofErr w:type="spellEnd"/>
      <w:r w:rsidRPr="563A687C">
        <w:rPr>
          <w:rFonts w:ascii="Arial" w:hAnsi="Arial" w:cs="Arial"/>
          <w:sz w:val="20"/>
          <w:szCs w:val="20"/>
          <w:lang w:val="en-US"/>
        </w:rPr>
        <w:t xml:space="preserve"> should ensure the </w:t>
      </w:r>
      <w:proofErr w:type="spellStart"/>
      <w:r w:rsidRPr="563A687C">
        <w:rPr>
          <w:rFonts w:ascii="Arial" w:hAnsi="Arial" w:cs="Arial"/>
          <w:sz w:val="20"/>
          <w:szCs w:val="20"/>
          <w:lang w:val="en-US"/>
        </w:rPr>
        <w:t>Dept</w:t>
      </w:r>
      <w:proofErr w:type="spellEnd"/>
      <w:r w:rsidRPr="563A687C">
        <w:rPr>
          <w:rFonts w:ascii="Arial" w:hAnsi="Arial" w:cs="Arial"/>
          <w:sz w:val="20"/>
          <w:szCs w:val="20"/>
          <w:lang w:val="en-US"/>
        </w:rPr>
        <w:t>/School has followed the casual engagement process including providing information to the School Management and Research Office to enable each TA to be given a workload letter (which includes work, pay, holiday pay etc. details) before any work commences.</w:t>
      </w:r>
    </w:p>
    <w:p w14:paraId="57CC63D5" w14:textId="08B9B774" w:rsidR="563A687C" w:rsidRDefault="563A687C" w:rsidP="563A687C">
      <w:pPr>
        <w:spacing w:line="276" w:lineRule="auto"/>
        <w:ind w:left="-357" w:hanging="357"/>
        <w:rPr>
          <w:rFonts w:ascii="Arial" w:hAnsi="Arial" w:cs="Arial"/>
          <w:sz w:val="20"/>
          <w:szCs w:val="20"/>
          <w:lang w:val="en-US"/>
        </w:rPr>
      </w:pPr>
    </w:p>
    <w:p w14:paraId="392F72A6" w14:textId="7AC5CF96" w:rsidR="563A687C" w:rsidRDefault="563A687C" w:rsidP="563A687C">
      <w:pPr>
        <w:pStyle w:val="ListParagraph"/>
        <w:numPr>
          <w:ilvl w:val="0"/>
          <w:numId w:val="4"/>
        </w:numPr>
        <w:spacing w:line="276" w:lineRule="auto"/>
        <w:ind w:left="0" w:hanging="357"/>
        <w:rPr>
          <w:sz w:val="20"/>
          <w:szCs w:val="20"/>
          <w:lang w:val="en-US"/>
        </w:rPr>
      </w:pPr>
      <w:r w:rsidRPr="563A687C">
        <w:rPr>
          <w:rFonts w:ascii="Arial" w:hAnsi="Arial" w:cs="Arial"/>
          <w:sz w:val="20"/>
          <w:szCs w:val="20"/>
          <w:lang w:val="en-US"/>
        </w:rPr>
        <w:t xml:space="preserve">Work must not commence until the casual engagement is in place as retrospective claims for work cannot be made and will result in no payment being made. </w:t>
      </w:r>
    </w:p>
    <w:p w14:paraId="4AF851F6" w14:textId="77777777" w:rsidR="008C5897" w:rsidRPr="00D36D4D" w:rsidRDefault="008C5897" w:rsidP="0084327B">
      <w:pPr>
        <w:spacing w:line="276" w:lineRule="auto"/>
        <w:rPr>
          <w:rFonts w:ascii="Arial" w:hAnsi="Arial" w:cs="Arial"/>
          <w:b/>
          <w:sz w:val="20"/>
          <w:szCs w:val="20"/>
        </w:rPr>
      </w:pPr>
    </w:p>
    <w:p w14:paraId="0127F00C" w14:textId="6B992DDB" w:rsidR="00647640" w:rsidRPr="00D36D4D" w:rsidRDefault="563A687C" w:rsidP="563A687C">
      <w:pPr>
        <w:spacing w:line="276" w:lineRule="auto"/>
        <w:rPr>
          <w:rFonts w:ascii="Arial" w:hAnsi="Arial" w:cs="Arial"/>
          <w:b/>
          <w:bCs/>
          <w:sz w:val="20"/>
          <w:szCs w:val="20"/>
        </w:rPr>
      </w:pPr>
      <w:r w:rsidRPr="563A687C">
        <w:rPr>
          <w:rFonts w:ascii="Arial" w:hAnsi="Arial" w:cs="Arial"/>
          <w:b/>
          <w:bCs/>
          <w:sz w:val="20"/>
          <w:szCs w:val="20"/>
        </w:rPr>
        <w:t>Role of Module Convenors (MCs) who are assisted by TAs</w:t>
      </w:r>
    </w:p>
    <w:p w14:paraId="73A3BD16" w14:textId="1451AAD6" w:rsidR="00563BCA" w:rsidRPr="00D36D4D" w:rsidRDefault="563A687C" w:rsidP="563A687C">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rPr>
        <w:t>TAs should not be required to create or find new material. Where convenors require teaching delivery in a particular format then clear and full guidance should be provided. TAs should be provided with content (e.g. for lectures this would constitute learning outcomes, PowerPoint slides and lecture notes; for seminars this would be learning outcomes, lists of key points, specific reading, sources, visual material, etc.). Beyond these requirements TAs should be free to experiment with different methods of delivery.</w:t>
      </w:r>
    </w:p>
    <w:p w14:paraId="3AB15B83" w14:textId="28891544" w:rsidR="563A687C" w:rsidRDefault="563A687C" w:rsidP="563A687C">
      <w:pPr>
        <w:spacing w:line="276" w:lineRule="auto"/>
        <w:ind w:left="-357" w:hanging="357"/>
        <w:rPr>
          <w:rFonts w:ascii="Arial" w:hAnsi="Arial" w:cs="Arial"/>
          <w:sz w:val="20"/>
          <w:szCs w:val="20"/>
        </w:rPr>
      </w:pPr>
    </w:p>
    <w:p w14:paraId="542CC7AB" w14:textId="059C8E61" w:rsidR="563A687C" w:rsidRDefault="563A687C" w:rsidP="563A687C">
      <w:pPr>
        <w:pStyle w:val="ListParagraph"/>
        <w:numPr>
          <w:ilvl w:val="0"/>
          <w:numId w:val="4"/>
        </w:numPr>
        <w:spacing w:line="276" w:lineRule="auto"/>
        <w:ind w:left="0" w:hanging="357"/>
        <w:rPr>
          <w:sz w:val="20"/>
          <w:szCs w:val="20"/>
        </w:rPr>
      </w:pPr>
      <w:r w:rsidRPr="563A687C">
        <w:rPr>
          <w:rFonts w:ascii="Arial" w:hAnsi="Arial" w:cs="Arial"/>
          <w:sz w:val="20"/>
          <w:szCs w:val="20"/>
        </w:rPr>
        <w:t>MCs should provide enough material and guidance so that the TA can carry out all preparation needed within the hour allocated for seminar preparation.</w:t>
      </w:r>
    </w:p>
    <w:p w14:paraId="41008BBB" w14:textId="77777777" w:rsidR="00260806" w:rsidRPr="00D36D4D" w:rsidRDefault="00260806" w:rsidP="0084327B">
      <w:pPr>
        <w:pStyle w:val="ListParagraph"/>
        <w:spacing w:line="276" w:lineRule="auto"/>
        <w:ind w:left="0"/>
        <w:rPr>
          <w:rFonts w:ascii="Arial" w:hAnsi="Arial" w:cs="Arial"/>
          <w:sz w:val="20"/>
          <w:szCs w:val="20"/>
        </w:rPr>
      </w:pPr>
    </w:p>
    <w:p w14:paraId="724BB54A" w14:textId="52AE7137" w:rsidR="00563BCA" w:rsidRPr="00D36D4D" w:rsidRDefault="563A687C" w:rsidP="563A687C">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lang w:val="en-US"/>
        </w:rPr>
        <w:t xml:space="preserve">MCs should guide and moderate assessment undertaken by </w:t>
      </w:r>
      <w:proofErr w:type="spellStart"/>
      <w:r w:rsidRPr="563A687C">
        <w:rPr>
          <w:rFonts w:ascii="Arial" w:hAnsi="Arial" w:cs="Arial"/>
          <w:sz w:val="20"/>
          <w:szCs w:val="20"/>
          <w:lang w:val="en-US"/>
        </w:rPr>
        <w:t>TAs.</w:t>
      </w:r>
      <w:proofErr w:type="spellEnd"/>
    </w:p>
    <w:p w14:paraId="32835ECB" w14:textId="77777777" w:rsidR="00563BCA" w:rsidRPr="00D36D4D" w:rsidRDefault="00563BCA" w:rsidP="00012FDA">
      <w:pPr>
        <w:rPr>
          <w:rFonts w:ascii="Arial" w:hAnsi="Arial" w:cs="Arial"/>
          <w:sz w:val="20"/>
          <w:szCs w:val="20"/>
          <w:lang w:val="en-US"/>
        </w:rPr>
      </w:pPr>
    </w:p>
    <w:p w14:paraId="0C47B3DB" w14:textId="2A0ED96A" w:rsidR="003F1879" w:rsidRPr="00D36D4D" w:rsidRDefault="563A687C" w:rsidP="563A687C">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lang w:val="en-US"/>
        </w:rPr>
        <w:t>MCs should not ask TAs to undertake work for which they are not paid under the terms of their casual engagement. This includes but is not limited to:</w:t>
      </w:r>
    </w:p>
    <w:p w14:paraId="35CB9879" w14:textId="77777777" w:rsidR="003F1879" w:rsidRPr="00D33EEF" w:rsidRDefault="003F1879" w:rsidP="003F1879">
      <w:pPr>
        <w:pStyle w:val="ListParagraph"/>
        <w:numPr>
          <w:ilvl w:val="0"/>
          <w:numId w:val="6"/>
        </w:numPr>
        <w:spacing w:line="276" w:lineRule="auto"/>
        <w:ind w:left="357" w:hanging="357"/>
        <w:rPr>
          <w:rFonts w:ascii="Arial" w:hAnsi="Arial" w:cs="Arial"/>
          <w:sz w:val="20"/>
          <w:szCs w:val="20"/>
        </w:rPr>
      </w:pPr>
      <w:r w:rsidRPr="00D36D4D">
        <w:rPr>
          <w:rFonts w:ascii="Arial" w:hAnsi="Arial" w:cs="Arial"/>
          <w:sz w:val="20"/>
          <w:szCs w:val="20"/>
          <w:lang w:val="en-US"/>
        </w:rPr>
        <w:t>Contributing to module development;</w:t>
      </w:r>
    </w:p>
    <w:p w14:paraId="5EA53179" w14:textId="77777777" w:rsidR="003F1879" w:rsidRPr="00D36D4D" w:rsidRDefault="003F1879" w:rsidP="003F1879">
      <w:pPr>
        <w:pStyle w:val="ListParagraph"/>
        <w:numPr>
          <w:ilvl w:val="0"/>
          <w:numId w:val="6"/>
        </w:numPr>
        <w:spacing w:line="276" w:lineRule="auto"/>
        <w:ind w:left="357" w:hanging="357"/>
        <w:rPr>
          <w:rFonts w:ascii="Arial" w:hAnsi="Arial" w:cs="Arial"/>
          <w:sz w:val="20"/>
          <w:szCs w:val="20"/>
        </w:rPr>
      </w:pPr>
      <w:r>
        <w:rPr>
          <w:rFonts w:ascii="Arial" w:hAnsi="Arial" w:cs="Arial"/>
          <w:sz w:val="20"/>
          <w:szCs w:val="20"/>
          <w:lang w:val="en-US"/>
        </w:rPr>
        <w:t>Compulsory lecture attendance;</w:t>
      </w:r>
    </w:p>
    <w:p w14:paraId="0267CECB" w14:textId="77777777" w:rsidR="003F1879" w:rsidRPr="00D36D4D" w:rsidRDefault="003F1879" w:rsidP="003F1879">
      <w:pPr>
        <w:pStyle w:val="ListParagraph"/>
        <w:numPr>
          <w:ilvl w:val="0"/>
          <w:numId w:val="6"/>
        </w:numPr>
        <w:spacing w:line="276" w:lineRule="auto"/>
        <w:ind w:left="357" w:hanging="357"/>
        <w:rPr>
          <w:rFonts w:ascii="Arial" w:hAnsi="Arial" w:cs="Arial"/>
          <w:sz w:val="20"/>
          <w:szCs w:val="20"/>
        </w:rPr>
      </w:pPr>
      <w:r w:rsidRPr="00D36D4D">
        <w:rPr>
          <w:rFonts w:ascii="Arial" w:hAnsi="Arial" w:cs="Arial"/>
          <w:sz w:val="20"/>
          <w:szCs w:val="20"/>
          <w:lang w:val="en-US"/>
        </w:rPr>
        <w:t>Developing reading lists;</w:t>
      </w:r>
    </w:p>
    <w:p w14:paraId="6375016F" w14:textId="77777777" w:rsidR="003F1879" w:rsidRPr="00D36D4D" w:rsidRDefault="003F1879" w:rsidP="003F1879">
      <w:pPr>
        <w:pStyle w:val="ListParagraph"/>
        <w:numPr>
          <w:ilvl w:val="0"/>
          <w:numId w:val="6"/>
        </w:numPr>
        <w:spacing w:line="276" w:lineRule="auto"/>
        <w:ind w:left="357" w:hanging="357"/>
        <w:rPr>
          <w:rFonts w:ascii="Arial" w:hAnsi="Arial" w:cs="Arial"/>
          <w:sz w:val="20"/>
          <w:szCs w:val="20"/>
        </w:rPr>
      </w:pPr>
      <w:r w:rsidRPr="00D36D4D">
        <w:rPr>
          <w:rFonts w:ascii="Arial" w:hAnsi="Arial" w:cs="Arial"/>
          <w:sz w:val="20"/>
          <w:szCs w:val="20"/>
          <w:lang w:val="en-US"/>
        </w:rPr>
        <w:t>Pastoral work;</w:t>
      </w:r>
    </w:p>
    <w:p w14:paraId="1AC4E84E" w14:textId="77777777" w:rsidR="003F1879" w:rsidRPr="00D36D4D" w:rsidRDefault="003F1879" w:rsidP="003F1879">
      <w:pPr>
        <w:pStyle w:val="ListParagraph"/>
        <w:numPr>
          <w:ilvl w:val="0"/>
          <w:numId w:val="6"/>
        </w:numPr>
        <w:spacing w:line="276" w:lineRule="auto"/>
        <w:ind w:left="357" w:hanging="357"/>
        <w:rPr>
          <w:rFonts w:ascii="Arial" w:hAnsi="Arial" w:cs="Arial"/>
          <w:sz w:val="20"/>
          <w:szCs w:val="20"/>
        </w:rPr>
      </w:pPr>
      <w:r w:rsidRPr="00D36D4D">
        <w:rPr>
          <w:rFonts w:ascii="Arial" w:hAnsi="Arial" w:cs="Arial"/>
          <w:sz w:val="20"/>
          <w:szCs w:val="20"/>
          <w:lang w:val="en-US"/>
        </w:rPr>
        <w:t>Completing mark-sheets;</w:t>
      </w:r>
    </w:p>
    <w:p w14:paraId="0F10AED0" w14:textId="77777777" w:rsidR="003F1879" w:rsidRPr="00D36D4D" w:rsidRDefault="003F1879" w:rsidP="003F1879">
      <w:pPr>
        <w:pStyle w:val="ListParagraph"/>
        <w:numPr>
          <w:ilvl w:val="0"/>
          <w:numId w:val="6"/>
        </w:numPr>
        <w:spacing w:line="276" w:lineRule="auto"/>
        <w:ind w:left="357" w:hanging="357"/>
        <w:rPr>
          <w:rFonts w:ascii="Arial" w:hAnsi="Arial" w:cs="Arial"/>
          <w:sz w:val="20"/>
          <w:szCs w:val="20"/>
        </w:rPr>
      </w:pPr>
      <w:r w:rsidRPr="00D36D4D">
        <w:rPr>
          <w:rFonts w:ascii="Arial" w:hAnsi="Arial" w:cs="Arial"/>
          <w:sz w:val="20"/>
          <w:szCs w:val="20"/>
          <w:lang w:val="en-US"/>
        </w:rPr>
        <w:t>Work on Moodle sites;</w:t>
      </w:r>
    </w:p>
    <w:p w14:paraId="0E0F1711" w14:textId="77777777" w:rsidR="003F1879" w:rsidRPr="00D36D4D" w:rsidRDefault="003F1879" w:rsidP="003F1879">
      <w:pPr>
        <w:pStyle w:val="ListParagraph"/>
        <w:numPr>
          <w:ilvl w:val="0"/>
          <w:numId w:val="6"/>
        </w:numPr>
        <w:spacing w:line="276" w:lineRule="auto"/>
        <w:ind w:left="357" w:hanging="357"/>
        <w:rPr>
          <w:rFonts w:ascii="Arial" w:hAnsi="Arial" w:cs="Arial"/>
          <w:sz w:val="20"/>
          <w:szCs w:val="20"/>
        </w:rPr>
      </w:pPr>
      <w:r w:rsidRPr="00D36D4D">
        <w:rPr>
          <w:rFonts w:ascii="Arial" w:hAnsi="Arial" w:cs="Arial"/>
          <w:sz w:val="20"/>
          <w:szCs w:val="20"/>
          <w:lang w:val="en-US"/>
        </w:rPr>
        <w:t>Dealing with correspondence with students they do not personally teach</w:t>
      </w:r>
    </w:p>
    <w:p w14:paraId="73F48ECF" w14:textId="4A84BC48" w:rsidR="003F1879" w:rsidRPr="00D36D4D" w:rsidRDefault="563A687C" w:rsidP="563A687C">
      <w:pPr>
        <w:pStyle w:val="ListParagraph"/>
        <w:numPr>
          <w:ilvl w:val="0"/>
          <w:numId w:val="6"/>
        </w:numPr>
        <w:spacing w:line="276" w:lineRule="auto"/>
        <w:ind w:left="357" w:hanging="357"/>
        <w:rPr>
          <w:rFonts w:ascii="Arial" w:hAnsi="Arial" w:cs="Arial"/>
          <w:sz w:val="20"/>
          <w:szCs w:val="20"/>
        </w:rPr>
      </w:pPr>
      <w:r w:rsidRPr="563A687C">
        <w:rPr>
          <w:rFonts w:ascii="Arial" w:hAnsi="Arial" w:cs="Arial"/>
          <w:sz w:val="20"/>
          <w:szCs w:val="20"/>
          <w:lang w:val="en-US"/>
        </w:rPr>
        <w:t xml:space="preserve">Setting essay topics that are very distant from seminar topics: Module </w:t>
      </w:r>
      <w:proofErr w:type="spellStart"/>
      <w:r w:rsidRPr="563A687C">
        <w:rPr>
          <w:rFonts w:ascii="Arial" w:hAnsi="Arial" w:cs="Arial"/>
          <w:sz w:val="20"/>
          <w:szCs w:val="20"/>
          <w:lang w:val="en-US"/>
        </w:rPr>
        <w:t>Convenors</w:t>
      </w:r>
      <w:proofErr w:type="spellEnd"/>
      <w:r w:rsidRPr="563A687C">
        <w:rPr>
          <w:rFonts w:ascii="Arial" w:hAnsi="Arial" w:cs="Arial"/>
          <w:sz w:val="20"/>
          <w:szCs w:val="20"/>
          <w:lang w:val="en-US"/>
        </w:rPr>
        <w:t xml:space="preserve"> should </w:t>
      </w:r>
      <w:proofErr w:type="spellStart"/>
      <w:r w:rsidRPr="563A687C">
        <w:rPr>
          <w:rFonts w:ascii="Arial" w:hAnsi="Arial" w:cs="Arial"/>
          <w:sz w:val="20"/>
          <w:szCs w:val="20"/>
          <w:lang w:val="en-US"/>
        </w:rPr>
        <w:t>endeavour</w:t>
      </w:r>
      <w:proofErr w:type="spellEnd"/>
      <w:r w:rsidRPr="563A687C">
        <w:rPr>
          <w:rFonts w:ascii="Arial" w:hAnsi="Arial" w:cs="Arial"/>
          <w:sz w:val="20"/>
          <w:szCs w:val="20"/>
          <w:lang w:val="en-US"/>
        </w:rPr>
        <w:t xml:space="preserve"> to create as much overlap as possible between the seminar topics (for which TAs are paid to prepare) and essay topics (for which TAs are not paid to prepare);</w:t>
      </w:r>
    </w:p>
    <w:p w14:paraId="08179EC7" w14:textId="000AFBC7" w:rsidR="003F1879" w:rsidRPr="00D36D4D" w:rsidRDefault="563A687C" w:rsidP="563A687C">
      <w:pPr>
        <w:pStyle w:val="ListParagraph"/>
        <w:numPr>
          <w:ilvl w:val="0"/>
          <w:numId w:val="6"/>
        </w:numPr>
        <w:spacing w:line="276" w:lineRule="auto"/>
        <w:ind w:left="357" w:hanging="357"/>
        <w:rPr>
          <w:rFonts w:ascii="Arial" w:hAnsi="Arial" w:cs="Arial"/>
          <w:sz w:val="20"/>
          <w:szCs w:val="20"/>
        </w:rPr>
      </w:pPr>
      <w:r w:rsidRPr="563A687C">
        <w:rPr>
          <w:rFonts w:ascii="Arial" w:hAnsi="Arial" w:cs="Arial"/>
          <w:sz w:val="20"/>
          <w:szCs w:val="20"/>
          <w:lang w:val="en-US"/>
        </w:rPr>
        <w:lastRenderedPageBreak/>
        <w:t>Formative assessments not specified in module specs;</w:t>
      </w:r>
    </w:p>
    <w:p w14:paraId="6A1C39A9" w14:textId="69BCA0AB" w:rsidR="563A687C" w:rsidRDefault="563A687C" w:rsidP="563A687C">
      <w:pPr>
        <w:pStyle w:val="ListParagraph"/>
        <w:numPr>
          <w:ilvl w:val="0"/>
          <w:numId w:val="6"/>
        </w:numPr>
        <w:spacing w:line="276" w:lineRule="auto"/>
        <w:ind w:left="357" w:hanging="357"/>
        <w:rPr>
          <w:sz w:val="20"/>
          <w:szCs w:val="20"/>
          <w:lang w:val="en-US"/>
        </w:rPr>
      </w:pPr>
      <w:r w:rsidRPr="563A687C">
        <w:rPr>
          <w:rFonts w:ascii="Arial" w:hAnsi="Arial" w:cs="Arial"/>
          <w:sz w:val="20"/>
          <w:szCs w:val="20"/>
          <w:lang w:val="en-US"/>
        </w:rPr>
        <w:t>Exam feedback</w:t>
      </w:r>
    </w:p>
    <w:p w14:paraId="0E1DA86E" w14:textId="5FF6885D" w:rsidR="75F70C9A" w:rsidRDefault="563A687C" w:rsidP="563A687C">
      <w:pPr>
        <w:pStyle w:val="ListParagraph"/>
        <w:numPr>
          <w:ilvl w:val="0"/>
          <w:numId w:val="6"/>
        </w:numPr>
        <w:spacing w:line="276" w:lineRule="auto"/>
        <w:ind w:left="357" w:hanging="357"/>
        <w:rPr>
          <w:sz w:val="20"/>
          <w:szCs w:val="20"/>
          <w:lang w:val="en-US"/>
        </w:rPr>
      </w:pPr>
      <w:r w:rsidRPr="563A687C">
        <w:rPr>
          <w:rFonts w:ascii="Arial" w:hAnsi="Arial" w:cs="Arial"/>
          <w:sz w:val="20"/>
          <w:szCs w:val="20"/>
          <w:lang w:val="en-US"/>
        </w:rPr>
        <w:t xml:space="preserve">Attending exam boards (unless the TA is a Module </w:t>
      </w:r>
      <w:proofErr w:type="spellStart"/>
      <w:r w:rsidRPr="563A687C">
        <w:rPr>
          <w:rFonts w:ascii="Arial" w:hAnsi="Arial" w:cs="Arial"/>
          <w:sz w:val="20"/>
          <w:szCs w:val="20"/>
          <w:lang w:val="en-US"/>
        </w:rPr>
        <w:t>Convenor</w:t>
      </w:r>
      <w:proofErr w:type="spellEnd"/>
      <w:r w:rsidRPr="563A687C">
        <w:rPr>
          <w:rFonts w:ascii="Arial" w:hAnsi="Arial" w:cs="Arial"/>
          <w:sz w:val="20"/>
          <w:szCs w:val="20"/>
          <w:lang w:val="en-US"/>
        </w:rPr>
        <w:t xml:space="preserve"> and attendance has been specified in the letter of engagement).</w:t>
      </w:r>
    </w:p>
    <w:p w14:paraId="0EB3BB30" w14:textId="5732F145" w:rsidR="003F1879" w:rsidRPr="003F1879" w:rsidRDefault="003F1879" w:rsidP="003F1879">
      <w:pPr>
        <w:rPr>
          <w:rFonts w:ascii="Arial" w:hAnsi="Arial" w:cs="Arial"/>
          <w:sz w:val="20"/>
          <w:szCs w:val="20"/>
          <w:lang w:val="en-US"/>
        </w:rPr>
      </w:pPr>
    </w:p>
    <w:p w14:paraId="4501666A" w14:textId="28C60EE6" w:rsidR="00012FDA" w:rsidRPr="00D36D4D" w:rsidRDefault="563A687C" w:rsidP="563A687C">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lang w:val="en-US"/>
        </w:rPr>
        <w:t>MCs must check with their Head of Department (</w:t>
      </w:r>
      <w:proofErr w:type="spellStart"/>
      <w:r w:rsidRPr="563A687C">
        <w:rPr>
          <w:rFonts w:ascii="Arial" w:hAnsi="Arial" w:cs="Arial"/>
          <w:sz w:val="20"/>
          <w:szCs w:val="20"/>
          <w:lang w:val="en-US"/>
        </w:rPr>
        <w:t>HoD</w:t>
      </w:r>
      <w:proofErr w:type="spellEnd"/>
      <w:r w:rsidRPr="563A687C">
        <w:rPr>
          <w:rFonts w:ascii="Arial" w:hAnsi="Arial" w:cs="Arial"/>
          <w:sz w:val="20"/>
          <w:szCs w:val="20"/>
          <w:lang w:val="en-US"/>
        </w:rPr>
        <w:t xml:space="preserve">) or nominee which tasks TAs are paid to undertake and should seek agreement in writing from the </w:t>
      </w:r>
      <w:proofErr w:type="spellStart"/>
      <w:r w:rsidRPr="563A687C">
        <w:rPr>
          <w:rFonts w:ascii="Arial" w:hAnsi="Arial" w:cs="Arial"/>
          <w:sz w:val="20"/>
          <w:szCs w:val="20"/>
          <w:lang w:val="en-US"/>
        </w:rPr>
        <w:t>HoD</w:t>
      </w:r>
      <w:proofErr w:type="spellEnd"/>
      <w:r w:rsidRPr="563A687C">
        <w:rPr>
          <w:rFonts w:ascii="Arial" w:hAnsi="Arial" w:cs="Arial"/>
          <w:sz w:val="20"/>
          <w:szCs w:val="20"/>
          <w:lang w:val="en-US"/>
        </w:rPr>
        <w:t xml:space="preserve"> before any changes to the casual engagement are made. Agreed changes must be </w:t>
      </w:r>
      <w:r w:rsidRPr="563A687C">
        <w:rPr>
          <w:rFonts w:ascii="Arial" w:hAnsi="Arial" w:cs="Arial"/>
          <w:sz w:val="20"/>
          <w:szCs w:val="20"/>
        </w:rPr>
        <w:t>communicated in writing to SMRO in advance of the work taking place so that relevant documentation can issued. Failure to do this could result in the TA being unable to claim for work completed.</w:t>
      </w:r>
    </w:p>
    <w:p w14:paraId="61C2BA03" w14:textId="77777777" w:rsidR="00012FDA" w:rsidRPr="00D36D4D" w:rsidRDefault="00012FDA" w:rsidP="00012FDA">
      <w:pPr>
        <w:pStyle w:val="ListParagraph"/>
        <w:spacing w:line="276" w:lineRule="auto"/>
        <w:ind w:left="0"/>
        <w:rPr>
          <w:rFonts w:ascii="Arial" w:hAnsi="Arial" w:cs="Arial"/>
          <w:sz w:val="20"/>
          <w:szCs w:val="20"/>
        </w:rPr>
      </w:pPr>
    </w:p>
    <w:p w14:paraId="3E23BE67" w14:textId="6B5418B6" w:rsidR="00FA5A79" w:rsidRPr="003F1879" w:rsidRDefault="563A687C" w:rsidP="0084327B">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lang w:val="en-US"/>
        </w:rPr>
        <w:t>Staff should be aware of relevant terms and conditions of the casual engagement of each TA and ensure that discussions with TAs avoid making reference to the possibility of future paid work or leaving the amount of preparation time to “your own ethical sense” or “moral judgement”.</w:t>
      </w:r>
    </w:p>
    <w:p w14:paraId="52E34E2F" w14:textId="77777777" w:rsidR="003F1879" w:rsidRPr="003F1879" w:rsidRDefault="003F1879" w:rsidP="003F1879">
      <w:pPr>
        <w:pStyle w:val="ListParagraph"/>
        <w:rPr>
          <w:rFonts w:ascii="Arial" w:hAnsi="Arial" w:cs="Arial"/>
          <w:sz w:val="20"/>
          <w:szCs w:val="20"/>
        </w:rPr>
      </w:pPr>
    </w:p>
    <w:p w14:paraId="578BF4D9" w14:textId="343025B2" w:rsidR="563A687C" w:rsidRDefault="563A687C" w:rsidP="563A687C">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rPr>
        <w:t>MCs should provide TAs with the information they need to carry out tasks required for their role.</w:t>
      </w:r>
    </w:p>
    <w:p w14:paraId="4352EDA9" w14:textId="7EB07091" w:rsidR="563A687C" w:rsidRDefault="563A687C" w:rsidP="563A687C">
      <w:pPr>
        <w:spacing w:line="276" w:lineRule="auto"/>
        <w:ind w:left="-357" w:hanging="357"/>
        <w:rPr>
          <w:rFonts w:ascii="Arial" w:hAnsi="Arial" w:cs="Arial"/>
          <w:sz w:val="20"/>
          <w:szCs w:val="20"/>
        </w:rPr>
      </w:pPr>
    </w:p>
    <w:p w14:paraId="79323B6D" w14:textId="421D0127" w:rsidR="563A687C" w:rsidRDefault="563A687C" w:rsidP="563A687C">
      <w:pPr>
        <w:pStyle w:val="ListParagraph"/>
        <w:numPr>
          <w:ilvl w:val="0"/>
          <w:numId w:val="4"/>
        </w:numPr>
        <w:spacing w:line="276" w:lineRule="auto"/>
        <w:ind w:left="0" w:hanging="357"/>
        <w:rPr>
          <w:sz w:val="20"/>
          <w:szCs w:val="20"/>
        </w:rPr>
      </w:pPr>
      <w:r w:rsidRPr="563A687C">
        <w:rPr>
          <w:rFonts w:ascii="Arial" w:hAnsi="Arial" w:cs="Arial"/>
          <w:sz w:val="20"/>
          <w:szCs w:val="20"/>
        </w:rPr>
        <w:t>TAs are not required to attend lectures in preparation for a module (for example to deliver seminar teaching). Exceptionally this may be required but a Module Convenor must have this approved by the Head of School and where attendance is approved it will be specified in the TA’s letter of engagement and payment will be made as per the Teaching Norms.</w:t>
      </w:r>
    </w:p>
    <w:p w14:paraId="008BE232" w14:textId="18C3CF97" w:rsidR="563A687C" w:rsidRDefault="563A687C" w:rsidP="563A687C">
      <w:pPr>
        <w:spacing w:line="276" w:lineRule="auto"/>
        <w:ind w:left="-357" w:hanging="357"/>
        <w:rPr>
          <w:rFonts w:ascii="Arial" w:hAnsi="Arial" w:cs="Arial"/>
          <w:sz w:val="20"/>
          <w:szCs w:val="20"/>
        </w:rPr>
      </w:pPr>
    </w:p>
    <w:p w14:paraId="4A4A705D" w14:textId="635FFF63" w:rsidR="563A687C" w:rsidRDefault="563A687C" w:rsidP="563A687C">
      <w:pPr>
        <w:pStyle w:val="ListParagraph"/>
        <w:numPr>
          <w:ilvl w:val="0"/>
          <w:numId w:val="4"/>
        </w:numPr>
        <w:spacing w:line="276" w:lineRule="auto"/>
        <w:ind w:left="0" w:hanging="357"/>
        <w:rPr>
          <w:sz w:val="20"/>
          <w:szCs w:val="20"/>
        </w:rPr>
      </w:pPr>
      <w:r w:rsidRPr="563A687C">
        <w:rPr>
          <w:rFonts w:ascii="Arial" w:hAnsi="Arial"/>
          <w:sz w:val="20"/>
          <w:szCs w:val="20"/>
        </w:rPr>
        <w:t xml:space="preserve">If TA is required </w:t>
      </w:r>
      <w:r w:rsidRPr="563A687C">
        <w:rPr>
          <w:rFonts w:ascii="Arial" w:eastAsia="Arial" w:hAnsi="Arial" w:cs="Arial"/>
          <w:sz w:val="20"/>
          <w:szCs w:val="20"/>
        </w:rPr>
        <w:t>by the School to attend meetings, e.g. School/</w:t>
      </w:r>
      <w:proofErr w:type="spellStart"/>
      <w:r w:rsidRPr="563A687C">
        <w:rPr>
          <w:rFonts w:ascii="Arial" w:eastAsia="Arial" w:hAnsi="Arial" w:cs="Arial"/>
          <w:sz w:val="20"/>
          <w:szCs w:val="20"/>
        </w:rPr>
        <w:t>Dept</w:t>
      </w:r>
      <w:proofErr w:type="spellEnd"/>
      <w:r w:rsidRPr="563A687C">
        <w:rPr>
          <w:rFonts w:ascii="Arial" w:eastAsia="Arial" w:hAnsi="Arial" w:cs="Arial"/>
          <w:sz w:val="20"/>
          <w:szCs w:val="20"/>
        </w:rPr>
        <w:t xml:space="preserve"> meetings, Induction or Exam Boards, the time for this will be paid and it should be stated clearly in the letter of engagement so that TAs are not left unsure about whether attendance is required.</w:t>
      </w:r>
    </w:p>
    <w:p w14:paraId="3198AEEA" w14:textId="77777777" w:rsidR="00240FE3" w:rsidRPr="00D36D4D" w:rsidRDefault="00240FE3" w:rsidP="0084327B">
      <w:pPr>
        <w:spacing w:line="276" w:lineRule="auto"/>
        <w:rPr>
          <w:rFonts w:ascii="Arial" w:hAnsi="Arial" w:cs="Arial"/>
          <w:b/>
          <w:sz w:val="20"/>
          <w:szCs w:val="20"/>
        </w:rPr>
      </w:pPr>
    </w:p>
    <w:p w14:paraId="136CA8C3" w14:textId="4E362440" w:rsidR="00821468" w:rsidRPr="00D36D4D" w:rsidRDefault="003A2F19" w:rsidP="006F399C">
      <w:pPr>
        <w:spacing w:line="276" w:lineRule="auto"/>
        <w:rPr>
          <w:rFonts w:ascii="Arial" w:hAnsi="Arial" w:cs="Arial"/>
          <w:b/>
          <w:sz w:val="20"/>
          <w:szCs w:val="20"/>
        </w:rPr>
      </w:pPr>
      <w:r w:rsidRPr="00D36D4D">
        <w:rPr>
          <w:rFonts w:ascii="Arial" w:hAnsi="Arial" w:cs="Arial"/>
          <w:b/>
          <w:sz w:val="20"/>
          <w:szCs w:val="20"/>
        </w:rPr>
        <w:t>Next steps</w:t>
      </w:r>
      <w:r w:rsidR="0011434D" w:rsidRPr="00D36D4D">
        <w:rPr>
          <w:rFonts w:ascii="Arial" w:hAnsi="Arial" w:cs="Arial"/>
          <w:b/>
          <w:sz w:val="20"/>
          <w:szCs w:val="20"/>
        </w:rPr>
        <w:t xml:space="preserve"> in case </w:t>
      </w:r>
      <w:r w:rsidR="003817A5" w:rsidRPr="00D36D4D">
        <w:rPr>
          <w:rFonts w:ascii="Arial" w:hAnsi="Arial" w:cs="Arial"/>
          <w:b/>
          <w:sz w:val="20"/>
          <w:szCs w:val="20"/>
        </w:rPr>
        <w:t xml:space="preserve">of </w:t>
      </w:r>
      <w:r w:rsidR="0011434D" w:rsidRPr="00D36D4D">
        <w:rPr>
          <w:rFonts w:ascii="Arial" w:hAnsi="Arial" w:cs="Arial"/>
          <w:b/>
          <w:sz w:val="20"/>
          <w:szCs w:val="20"/>
        </w:rPr>
        <w:t>difficulties</w:t>
      </w:r>
    </w:p>
    <w:p w14:paraId="5F5C452A" w14:textId="7FD4F4BF" w:rsidR="006F399C" w:rsidRPr="00D36D4D" w:rsidRDefault="563A687C" w:rsidP="006F399C">
      <w:pPr>
        <w:pStyle w:val="ListParagraph"/>
        <w:numPr>
          <w:ilvl w:val="0"/>
          <w:numId w:val="4"/>
        </w:numPr>
        <w:spacing w:line="276" w:lineRule="auto"/>
        <w:ind w:left="0" w:hanging="357"/>
        <w:rPr>
          <w:rFonts w:ascii="Arial" w:hAnsi="Arial" w:cs="Arial"/>
          <w:sz w:val="20"/>
          <w:szCs w:val="20"/>
        </w:rPr>
      </w:pPr>
      <w:r w:rsidRPr="563A687C">
        <w:rPr>
          <w:rFonts w:ascii="Arial" w:hAnsi="Arial" w:cs="Arial"/>
          <w:sz w:val="20"/>
          <w:szCs w:val="20"/>
        </w:rPr>
        <w:t>Queries from TAs regarding admin-type issues (such as timing of payments, how to claim payment, inaccuracies in the workload letter) should be directed to the School Management and Research Office in the first instance. If this does not result in resolution the TA should be directed to the Faculty Operations Manager based in the School.</w:t>
      </w:r>
    </w:p>
    <w:p w14:paraId="00AB814B" w14:textId="77777777" w:rsidR="006F399C" w:rsidRPr="00D36D4D" w:rsidRDefault="006F399C" w:rsidP="006F399C">
      <w:pPr>
        <w:pStyle w:val="ListParagraph"/>
        <w:spacing w:line="276" w:lineRule="auto"/>
        <w:ind w:left="0"/>
        <w:rPr>
          <w:rFonts w:ascii="Arial" w:hAnsi="Arial" w:cs="Arial"/>
          <w:sz w:val="20"/>
          <w:szCs w:val="20"/>
        </w:rPr>
      </w:pPr>
    </w:p>
    <w:p w14:paraId="64C1BF7B" w14:textId="2C57F8B0" w:rsidR="006F399C" w:rsidRPr="00D36D4D" w:rsidRDefault="563A687C" w:rsidP="563A687C">
      <w:pPr>
        <w:pStyle w:val="ListParagraph"/>
        <w:spacing w:line="276" w:lineRule="auto"/>
        <w:ind w:left="0"/>
        <w:rPr>
          <w:rFonts w:ascii="Arial" w:hAnsi="Arial" w:cs="Arial"/>
          <w:sz w:val="20"/>
          <w:szCs w:val="20"/>
        </w:rPr>
      </w:pPr>
      <w:r w:rsidRPr="563A687C">
        <w:rPr>
          <w:rFonts w:ascii="Arial" w:hAnsi="Arial" w:cs="Arial"/>
          <w:sz w:val="20"/>
          <w:szCs w:val="20"/>
        </w:rPr>
        <w:t>Academic and workload-type queries should be addressed by this Code of Practice which outlines the responsibilities of academic staff working with Teaching Affiliates. If a TA has further concerns they should be directed to the MC, Teaching Affiliate Coordinator (English), Departmental Director of Teaching or Head of Department in the first instance. If this does not result in resolution, they should contact the Head of School or School Director of Teaching. The School of Humanities also has a regular TA forum where issues may be raised.</w:t>
      </w:r>
    </w:p>
    <w:p w14:paraId="2E89B000" w14:textId="77777777" w:rsidR="003817A5" w:rsidRPr="00D36D4D" w:rsidRDefault="003817A5" w:rsidP="0084327B">
      <w:pPr>
        <w:spacing w:line="276" w:lineRule="auto"/>
        <w:rPr>
          <w:rFonts w:ascii="Arial" w:hAnsi="Arial" w:cs="Arial"/>
          <w:sz w:val="20"/>
          <w:szCs w:val="20"/>
        </w:rPr>
      </w:pPr>
    </w:p>
    <w:p w14:paraId="43BBB33C" w14:textId="77777777" w:rsidR="003817A5" w:rsidRPr="00D36D4D" w:rsidRDefault="003817A5" w:rsidP="0084327B">
      <w:pPr>
        <w:spacing w:line="276" w:lineRule="auto"/>
        <w:rPr>
          <w:rFonts w:ascii="Arial" w:hAnsi="Arial" w:cs="Arial"/>
          <w:sz w:val="20"/>
          <w:szCs w:val="20"/>
        </w:rPr>
      </w:pPr>
    </w:p>
    <w:p w14:paraId="6D81651D" w14:textId="77777777" w:rsidR="00AD785D" w:rsidRPr="00D36D4D" w:rsidRDefault="00AD785D" w:rsidP="0084327B">
      <w:pPr>
        <w:spacing w:line="276" w:lineRule="auto"/>
        <w:rPr>
          <w:rFonts w:ascii="Arial" w:hAnsi="Arial" w:cs="Arial"/>
          <w:sz w:val="20"/>
          <w:szCs w:val="20"/>
        </w:rPr>
      </w:pPr>
      <w:bookmarkStart w:id="0" w:name="_GoBack"/>
      <w:bookmarkEnd w:id="0"/>
    </w:p>
    <w:p w14:paraId="18110552" w14:textId="77777777" w:rsidR="00AD785D" w:rsidRPr="00D36D4D" w:rsidRDefault="00AD785D" w:rsidP="563A687C">
      <w:pPr>
        <w:spacing w:line="276" w:lineRule="auto"/>
        <w:rPr>
          <w:rFonts w:ascii="Arial" w:hAnsi="Arial" w:cs="Arial"/>
          <w:sz w:val="20"/>
          <w:szCs w:val="20"/>
        </w:rPr>
      </w:pPr>
    </w:p>
    <w:p w14:paraId="4CAD35BB" w14:textId="67F65578" w:rsidR="563A687C" w:rsidRDefault="563A687C" w:rsidP="563A687C">
      <w:pPr>
        <w:spacing w:line="276" w:lineRule="auto"/>
        <w:rPr>
          <w:rFonts w:ascii="Arial" w:hAnsi="Arial" w:cs="Arial"/>
          <w:sz w:val="20"/>
          <w:szCs w:val="20"/>
        </w:rPr>
      </w:pPr>
    </w:p>
    <w:p w14:paraId="25EC6697" w14:textId="70888D08" w:rsidR="563A687C" w:rsidRDefault="563A687C" w:rsidP="563A687C">
      <w:pPr>
        <w:spacing w:line="276" w:lineRule="auto"/>
        <w:rPr>
          <w:rFonts w:ascii="Arial" w:hAnsi="Arial" w:cs="Arial"/>
          <w:sz w:val="20"/>
          <w:szCs w:val="20"/>
        </w:rPr>
      </w:pPr>
    </w:p>
    <w:p w14:paraId="4376EEBC" w14:textId="22FFDCAD" w:rsidR="563A687C" w:rsidRDefault="563A687C" w:rsidP="563A687C">
      <w:pPr>
        <w:spacing w:line="276" w:lineRule="auto"/>
        <w:rPr>
          <w:rFonts w:ascii="Arial" w:hAnsi="Arial" w:cs="Arial"/>
          <w:sz w:val="20"/>
          <w:szCs w:val="20"/>
        </w:rPr>
      </w:pPr>
    </w:p>
    <w:p w14:paraId="2C89BAA3" w14:textId="27B115F4" w:rsidR="563A687C" w:rsidRDefault="563A687C" w:rsidP="563A687C">
      <w:pPr>
        <w:spacing w:line="276" w:lineRule="auto"/>
        <w:rPr>
          <w:rFonts w:ascii="Arial" w:hAnsi="Arial" w:cs="Arial"/>
          <w:sz w:val="20"/>
          <w:szCs w:val="20"/>
        </w:rPr>
      </w:pPr>
    </w:p>
    <w:p w14:paraId="41097015" w14:textId="3CB83869" w:rsidR="563A687C" w:rsidRDefault="563A687C" w:rsidP="563A687C">
      <w:pPr>
        <w:spacing w:line="276" w:lineRule="auto"/>
        <w:rPr>
          <w:rFonts w:ascii="Arial" w:hAnsi="Arial" w:cs="Arial"/>
          <w:sz w:val="20"/>
          <w:szCs w:val="20"/>
        </w:rPr>
      </w:pPr>
    </w:p>
    <w:p w14:paraId="17FF4959" w14:textId="4E550D27" w:rsidR="563A687C" w:rsidRDefault="563A687C" w:rsidP="563A687C">
      <w:pPr>
        <w:spacing w:line="276" w:lineRule="auto"/>
        <w:rPr>
          <w:rFonts w:ascii="Arial" w:hAnsi="Arial" w:cs="Arial"/>
          <w:sz w:val="20"/>
          <w:szCs w:val="20"/>
        </w:rPr>
      </w:pPr>
    </w:p>
    <w:p w14:paraId="6005D0F6" w14:textId="77777777" w:rsidR="00AD785D" w:rsidRPr="00D36D4D" w:rsidRDefault="00AD785D" w:rsidP="0084327B">
      <w:pPr>
        <w:spacing w:line="276" w:lineRule="auto"/>
        <w:rPr>
          <w:rFonts w:ascii="Arial" w:hAnsi="Arial" w:cs="Arial"/>
          <w:sz w:val="20"/>
          <w:szCs w:val="20"/>
        </w:rPr>
      </w:pPr>
    </w:p>
    <w:p w14:paraId="5A2E53B8" w14:textId="77777777" w:rsidR="00AD785D" w:rsidRPr="00D36D4D" w:rsidRDefault="00AD785D" w:rsidP="0084327B">
      <w:pPr>
        <w:spacing w:line="276" w:lineRule="auto"/>
        <w:rPr>
          <w:rFonts w:ascii="Arial" w:hAnsi="Arial" w:cs="Arial"/>
          <w:sz w:val="20"/>
          <w:szCs w:val="20"/>
        </w:rPr>
      </w:pPr>
    </w:p>
    <w:p w14:paraId="000C52CA" w14:textId="701A470B" w:rsidR="00821468" w:rsidRPr="00D36D4D" w:rsidRDefault="563A687C" w:rsidP="563A687C">
      <w:pPr>
        <w:spacing w:line="276" w:lineRule="auto"/>
        <w:rPr>
          <w:rFonts w:ascii="Arial" w:hAnsi="Arial" w:cs="Arial"/>
          <w:sz w:val="20"/>
          <w:szCs w:val="20"/>
        </w:rPr>
      </w:pPr>
      <w:r w:rsidRPr="563A687C">
        <w:rPr>
          <w:rFonts w:ascii="Arial" w:hAnsi="Arial" w:cs="Arial"/>
          <w:sz w:val="20"/>
          <w:szCs w:val="20"/>
        </w:rPr>
        <w:lastRenderedPageBreak/>
        <w:t>Code originally produced by Faculty of Arts Education and Student Experience Board; last amended July 2019 to reflect changes agreed by FEB.</w:t>
      </w:r>
    </w:p>
    <w:sectPr w:rsidR="00821468" w:rsidRPr="00D36D4D" w:rsidSect="00D9732A">
      <w:footerReference w:type="default" r:id="rId11"/>
      <w:headerReference w:type="first" r:id="rId12"/>
      <w:pgSz w:w="11900" w:h="16840"/>
      <w:pgMar w:top="1440" w:right="1440" w:bottom="1440" w:left="1440" w:header="708" w:footer="91"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4235C" w14:textId="77777777" w:rsidR="005C71BB" w:rsidRDefault="005C71BB" w:rsidP="003A2F19">
      <w:r>
        <w:separator/>
      </w:r>
    </w:p>
  </w:endnote>
  <w:endnote w:type="continuationSeparator" w:id="0">
    <w:p w14:paraId="2B9E1808" w14:textId="77777777" w:rsidR="005C71BB" w:rsidRDefault="005C71BB" w:rsidP="003A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823005"/>
      <w:docPartObj>
        <w:docPartGallery w:val="Page Numbers (Bottom of Page)"/>
        <w:docPartUnique/>
      </w:docPartObj>
    </w:sdtPr>
    <w:sdtEndPr/>
    <w:sdtContent>
      <w:sdt>
        <w:sdtPr>
          <w:id w:val="-1669238322"/>
          <w:docPartObj>
            <w:docPartGallery w:val="Page Numbers (Top of Page)"/>
            <w:docPartUnique/>
          </w:docPartObj>
        </w:sdtPr>
        <w:sdtEndPr/>
        <w:sdtContent>
          <w:p w14:paraId="3CAC7A43" w14:textId="6A088B5B" w:rsidR="003817A5" w:rsidRDefault="003817A5">
            <w:pPr>
              <w:pStyle w:val="Footer"/>
              <w:jc w:val="center"/>
            </w:pPr>
            <w:r w:rsidRPr="00F769B1">
              <w:rPr>
                <w:sz w:val="16"/>
                <w:szCs w:val="16"/>
              </w:rPr>
              <w:t xml:space="preserve">Page </w:t>
            </w:r>
            <w:r w:rsidRPr="00F769B1">
              <w:rPr>
                <w:b/>
                <w:bCs/>
                <w:sz w:val="16"/>
                <w:szCs w:val="16"/>
              </w:rPr>
              <w:fldChar w:fldCharType="begin"/>
            </w:r>
            <w:r w:rsidRPr="00F769B1">
              <w:rPr>
                <w:b/>
                <w:bCs/>
                <w:sz w:val="16"/>
                <w:szCs w:val="16"/>
              </w:rPr>
              <w:instrText xml:space="preserve"> PAGE </w:instrText>
            </w:r>
            <w:r w:rsidRPr="00F769B1">
              <w:rPr>
                <w:b/>
                <w:bCs/>
                <w:sz w:val="16"/>
                <w:szCs w:val="16"/>
              </w:rPr>
              <w:fldChar w:fldCharType="separate"/>
            </w:r>
            <w:r w:rsidR="00FE7197">
              <w:rPr>
                <w:b/>
                <w:bCs/>
                <w:noProof/>
                <w:sz w:val="16"/>
                <w:szCs w:val="16"/>
              </w:rPr>
              <w:t>2</w:t>
            </w:r>
            <w:r w:rsidRPr="00F769B1">
              <w:rPr>
                <w:b/>
                <w:bCs/>
                <w:sz w:val="16"/>
                <w:szCs w:val="16"/>
              </w:rPr>
              <w:fldChar w:fldCharType="end"/>
            </w:r>
            <w:r w:rsidRPr="00F769B1">
              <w:rPr>
                <w:sz w:val="16"/>
                <w:szCs w:val="16"/>
              </w:rPr>
              <w:t xml:space="preserve"> of </w:t>
            </w:r>
            <w:r w:rsidRPr="00F769B1">
              <w:rPr>
                <w:b/>
                <w:bCs/>
                <w:sz w:val="16"/>
                <w:szCs w:val="16"/>
              </w:rPr>
              <w:fldChar w:fldCharType="begin"/>
            </w:r>
            <w:r w:rsidRPr="00F769B1">
              <w:rPr>
                <w:b/>
                <w:bCs/>
                <w:sz w:val="16"/>
                <w:szCs w:val="16"/>
              </w:rPr>
              <w:instrText xml:space="preserve"> NUMPAGES  </w:instrText>
            </w:r>
            <w:r w:rsidRPr="00F769B1">
              <w:rPr>
                <w:b/>
                <w:bCs/>
                <w:sz w:val="16"/>
                <w:szCs w:val="16"/>
              </w:rPr>
              <w:fldChar w:fldCharType="separate"/>
            </w:r>
            <w:r w:rsidR="00FE7197">
              <w:rPr>
                <w:b/>
                <w:bCs/>
                <w:noProof/>
                <w:sz w:val="16"/>
                <w:szCs w:val="16"/>
              </w:rPr>
              <w:t>2</w:t>
            </w:r>
            <w:r w:rsidRPr="00F769B1">
              <w:rPr>
                <w:b/>
                <w:bCs/>
                <w:sz w:val="16"/>
                <w:szCs w:val="16"/>
              </w:rPr>
              <w:fldChar w:fldCharType="end"/>
            </w:r>
          </w:p>
        </w:sdtContent>
      </w:sdt>
    </w:sdtContent>
  </w:sdt>
  <w:p w14:paraId="76083396" w14:textId="77777777" w:rsidR="003817A5" w:rsidRDefault="00381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9578" w14:textId="77777777" w:rsidR="005C71BB" w:rsidRDefault="005C71BB" w:rsidP="003A2F19">
      <w:r>
        <w:separator/>
      </w:r>
    </w:p>
  </w:footnote>
  <w:footnote w:type="continuationSeparator" w:id="0">
    <w:p w14:paraId="2D841242" w14:textId="77777777" w:rsidR="005C71BB" w:rsidRDefault="005C71BB" w:rsidP="003A2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D9732A" w14:paraId="4EA194AE" w14:textId="77777777" w:rsidTr="563A687C">
      <w:tc>
        <w:tcPr>
          <w:tcW w:w="3681" w:type="dxa"/>
        </w:tcPr>
        <w:p w14:paraId="4A2DD9A9" w14:textId="77777777" w:rsidR="00D9732A" w:rsidRDefault="00D9732A" w:rsidP="00D9732A">
          <w:pPr>
            <w:pStyle w:val="Header"/>
          </w:pPr>
          <w:r>
            <w:rPr>
              <w:noProof/>
              <w:lang w:eastAsia="en-GB"/>
            </w:rPr>
            <w:drawing>
              <wp:inline distT="0" distB="0" distL="0" distR="0" wp14:anchorId="27D1BA0B" wp14:editId="33DB01E0">
                <wp:extent cx="141487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04" cy="529627"/>
                        </a:xfrm>
                        <a:prstGeom prst="rect">
                          <a:avLst/>
                        </a:prstGeom>
                      </pic:spPr>
                    </pic:pic>
                  </a:graphicData>
                </a:graphic>
              </wp:inline>
            </w:drawing>
          </w:r>
        </w:p>
      </w:tc>
      <w:tc>
        <w:tcPr>
          <w:tcW w:w="5335" w:type="dxa"/>
        </w:tcPr>
        <w:p w14:paraId="5C041484" w14:textId="77777777" w:rsidR="00D9732A" w:rsidRPr="00D36D4D" w:rsidRDefault="00D9732A" w:rsidP="00D9732A">
          <w:pPr>
            <w:pStyle w:val="Header"/>
            <w:jc w:val="right"/>
            <w:rPr>
              <w:rFonts w:ascii="Arial" w:hAnsi="Arial" w:cs="Arial"/>
              <w:sz w:val="20"/>
              <w:szCs w:val="20"/>
            </w:rPr>
          </w:pPr>
          <w:r w:rsidRPr="00D36D4D">
            <w:rPr>
              <w:rFonts w:ascii="Arial" w:hAnsi="Arial" w:cs="Arial"/>
              <w:sz w:val="20"/>
              <w:szCs w:val="20"/>
            </w:rPr>
            <w:t>Faculty of Arts</w:t>
          </w:r>
        </w:p>
        <w:p w14:paraId="239400EB" w14:textId="7C470996" w:rsidR="00D9732A" w:rsidRPr="00D36D4D" w:rsidRDefault="00D9732A" w:rsidP="00D9732A">
          <w:pPr>
            <w:pStyle w:val="Header"/>
            <w:jc w:val="right"/>
            <w:rPr>
              <w:rFonts w:ascii="Arial" w:hAnsi="Arial" w:cs="Arial"/>
              <w:sz w:val="20"/>
              <w:szCs w:val="20"/>
            </w:rPr>
          </w:pPr>
          <w:r w:rsidRPr="00D36D4D">
            <w:rPr>
              <w:rFonts w:ascii="Arial" w:hAnsi="Arial" w:cs="Arial"/>
              <w:sz w:val="20"/>
              <w:szCs w:val="20"/>
            </w:rPr>
            <w:t>Code of Practice on working with TAs</w:t>
          </w:r>
        </w:p>
        <w:p w14:paraId="7FF3FF99" w14:textId="7D03C326" w:rsidR="00D9732A" w:rsidRDefault="00563BCA" w:rsidP="004B2E79">
          <w:pPr>
            <w:pStyle w:val="Header"/>
            <w:jc w:val="right"/>
          </w:pPr>
          <w:r w:rsidRPr="00D36D4D">
            <w:rPr>
              <w:rFonts w:ascii="Arial" w:hAnsi="Arial" w:cs="Arial"/>
              <w:sz w:val="20"/>
              <w:szCs w:val="20"/>
            </w:rPr>
            <w:t>Version 1.</w:t>
          </w:r>
          <w:r w:rsidR="004B2E79">
            <w:rPr>
              <w:rFonts w:ascii="Arial" w:hAnsi="Arial" w:cs="Arial"/>
              <w:sz w:val="20"/>
              <w:szCs w:val="20"/>
            </w:rPr>
            <w:t>3</w:t>
          </w:r>
          <w:r w:rsidRPr="00D36D4D">
            <w:rPr>
              <w:rFonts w:ascii="Arial" w:hAnsi="Arial" w:cs="Arial"/>
              <w:sz w:val="20"/>
              <w:szCs w:val="20"/>
            </w:rPr>
            <w:t>; updated : 2</w:t>
          </w:r>
          <w:r w:rsidR="006A6604" w:rsidRPr="00D36D4D">
            <w:rPr>
              <w:rFonts w:ascii="Arial" w:hAnsi="Arial" w:cs="Arial"/>
              <w:sz w:val="20"/>
              <w:szCs w:val="20"/>
            </w:rPr>
            <w:t>4/</w:t>
          </w:r>
          <w:r w:rsidRPr="00D36D4D">
            <w:rPr>
              <w:rFonts w:ascii="Arial" w:hAnsi="Arial" w:cs="Arial"/>
              <w:sz w:val="20"/>
              <w:szCs w:val="20"/>
            </w:rPr>
            <w:t>07</w:t>
          </w:r>
          <w:r w:rsidR="006A6604" w:rsidRPr="00D36D4D">
            <w:rPr>
              <w:rFonts w:ascii="Arial" w:hAnsi="Arial" w:cs="Arial"/>
              <w:sz w:val="20"/>
              <w:szCs w:val="20"/>
            </w:rPr>
            <w:t>/201</w:t>
          </w:r>
          <w:r w:rsidR="004B2E79">
            <w:rPr>
              <w:rFonts w:ascii="Arial" w:hAnsi="Arial" w:cs="Arial"/>
              <w:sz w:val="20"/>
              <w:szCs w:val="20"/>
            </w:rPr>
            <w:t>9</w:t>
          </w:r>
        </w:p>
      </w:tc>
    </w:tr>
  </w:tbl>
  <w:p w14:paraId="41D6B69D" w14:textId="77777777" w:rsidR="00D9732A" w:rsidRDefault="00D97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47AE"/>
    <w:multiLevelType w:val="hybridMultilevel"/>
    <w:tmpl w:val="3DECFE22"/>
    <w:lvl w:ilvl="0" w:tplc="112C397C">
      <w:start w:val="1"/>
      <w:numFmt w:val="bullet"/>
      <w:lvlText w:val="•"/>
      <w:lvlJc w:val="left"/>
      <w:pPr>
        <w:tabs>
          <w:tab w:val="num" w:pos="360"/>
        </w:tabs>
        <w:ind w:left="360" w:hanging="360"/>
      </w:pPr>
      <w:rPr>
        <w:rFonts w:ascii="Arial" w:hAnsi="Arial" w:hint="default"/>
      </w:rPr>
    </w:lvl>
    <w:lvl w:ilvl="1" w:tplc="A06247EA" w:tentative="1">
      <w:start w:val="1"/>
      <w:numFmt w:val="bullet"/>
      <w:lvlText w:val="•"/>
      <w:lvlJc w:val="left"/>
      <w:pPr>
        <w:tabs>
          <w:tab w:val="num" w:pos="1080"/>
        </w:tabs>
        <w:ind w:left="1080" w:hanging="360"/>
      </w:pPr>
      <w:rPr>
        <w:rFonts w:ascii="Arial" w:hAnsi="Arial" w:hint="default"/>
      </w:rPr>
    </w:lvl>
    <w:lvl w:ilvl="2" w:tplc="4ED81F38" w:tentative="1">
      <w:start w:val="1"/>
      <w:numFmt w:val="bullet"/>
      <w:lvlText w:val="•"/>
      <w:lvlJc w:val="left"/>
      <w:pPr>
        <w:tabs>
          <w:tab w:val="num" w:pos="1800"/>
        </w:tabs>
        <w:ind w:left="1800" w:hanging="360"/>
      </w:pPr>
      <w:rPr>
        <w:rFonts w:ascii="Arial" w:hAnsi="Arial" w:hint="default"/>
      </w:rPr>
    </w:lvl>
    <w:lvl w:ilvl="3" w:tplc="FD58BB72" w:tentative="1">
      <w:start w:val="1"/>
      <w:numFmt w:val="bullet"/>
      <w:lvlText w:val="•"/>
      <w:lvlJc w:val="left"/>
      <w:pPr>
        <w:tabs>
          <w:tab w:val="num" w:pos="2520"/>
        </w:tabs>
        <w:ind w:left="2520" w:hanging="360"/>
      </w:pPr>
      <w:rPr>
        <w:rFonts w:ascii="Arial" w:hAnsi="Arial" w:hint="default"/>
      </w:rPr>
    </w:lvl>
    <w:lvl w:ilvl="4" w:tplc="B242439C" w:tentative="1">
      <w:start w:val="1"/>
      <w:numFmt w:val="bullet"/>
      <w:lvlText w:val="•"/>
      <w:lvlJc w:val="left"/>
      <w:pPr>
        <w:tabs>
          <w:tab w:val="num" w:pos="3240"/>
        </w:tabs>
        <w:ind w:left="3240" w:hanging="360"/>
      </w:pPr>
      <w:rPr>
        <w:rFonts w:ascii="Arial" w:hAnsi="Arial" w:hint="default"/>
      </w:rPr>
    </w:lvl>
    <w:lvl w:ilvl="5" w:tplc="20B291B4" w:tentative="1">
      <w:start w:val="1"/>
      <w:numFmt w:val="bullet"/>
      <w:lvlText w:val="•"/>
      <w:lvlJc w:val="left"/>
      <w:pPr>
        <w:tabs>
          <w:tab w:val="num" w:pos="3960"/>
        </w:tabs>
        <w:ind w:left="3960" w:hanging="360"/>
      </w:pPr>
      <w:rPr>
        <w:rFonts w:ascii="Arial" w:hAnsi="Arial" w:hint="default"/>
      </w:rPr>
    </w:lvl>
    <w:lvl w:ilvl="6" w:tplc="3B9085D4" w:tentative="1">
      <w:start w:val="1"/>
      <w:numFmt w:val="bullet"/>
      <w:lvlText w:val="•"/>
      <w:lvlJc w:val="left"/>
      <w:pPr>
        <w:tabs>
          <w:tab w:val="num" w:pos="4680"/>
        </w:tabs>
        <w:ind w:left="4680" w:hanging="360"/>
      </w:pPr>
      <w:rPr>
        <w:rFonts w:ascii="Arial" w:hAnsi="Arial" w:hint="default"/>
      </w:rPr>
    </w:lvl>
    <w:lvl w:ilvl="7" w:tplc="995AAAC6" w:tentative="1">
      <w:start w:val="1"/>
      <w:numFmt w:val="bullet"/>
      <w:lvlText w:val="•"/>
      <w:lvlJc w:val="left"/>
      <w:pPr>
        <w:tabs>
          <w:tab w:val="num" w:pos="5400"/>
        </w:tabs>
        <w:ind w:left="5400" w:hanging="360"/>
      </w:pPr>
      <w:rPr>
        <w:rFonts w:ascii="Arial" w:hAnsi="Arial" w:hint="default"/>
      </w:rPr>
    </w:lvl>
    <w:lvl w:ilvl="8" w:tplc="D9784BD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5242982"/>
    <w:multiLevelType w:val="hybridMultilevel"/>
    <w:tmpl w:val="133414C0"/>
    <w:lvl w:ilvl="0" w:tplc="FFFFFFFF">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D6B94"/>
    <w:multiLevelType w:val="hybridMultilevel"/>
    <w:tmpl w:val="C9A4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D2D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5B47892"/>
    <w:multiLevelType w:val="hybridMultilevel"/>
    <w:tmpl w:val="7640E90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73CF27DB"/>
    <w:multiLevelType w:val="hybridMultilevel"/>
    <w:tmpl w:val="90CC7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79"/>
    <w:rsid w:val="00012FDA"/>
    <w:rsid w:val="000376F1"/>
    <w:rsid w:val="000806B0"/>
    <w:rsid w:val="000C62ED"/>
    <w:rsid w:val="000E7FA0"/>
    <w:rsid w:val="000F431E"/>
    <w:rsid w:val="0011427A"/>
    <w:rsid w:val="0011434D"/>
    <w:rsid w:val="00125BD7"/>
    <w:rsid w:val="00173EE9"/>
    <w:rsid w:val="0019414F"/>
    <w:rsid w:val="001B3F24"/>
    <w:rsid w:val="001C7AC6"/>
    <w:rsid w:val="001E4965"/>
    <w:rsid w:val="00204455"/>
    <w:rsid w:val="00240FE3"/>
    <w:rsid w:val="00260806"/>
    <w:rsid w:val="002953FC"/>
    <w:rsid w:val="002A25A5"/>
    <w:rsid w:val="002C5B62"/>
    <w:rsid w:val="002C7780"/>
    <w:rsid w:val="002D216B"/>
    <w:rsid w:val="00337985"/>
    <w:rsid w:val="00340B34"/>
    <w:rsid w:val="00342997"/>
    <w:rsid w:val="00373CC8"/>
    <w:rsid w:val="003817A5"/>
    <w:rsid w:val="003A2F19"/>
    <w:rsid w:val="003F13BB"/>
    <w:rsid w:val="003F1879"/>
    <w:rsid w:val="004166B9"/>
    <w:rsid w:val="00464DFD"/>
    <w:rsid w:val="004975DB"/>
    <w:rsid w:val="004B2E79"/>
    <w:rsid w:val="004C4E8D"/>
    <w:rsid w:val="005556F2"/>
    <w:rsid w:val="00563BCA"/>
    <w:rsid w:val="00573FA8"/>
    <w:rsid w:val="00583E46"/>
    <w:rsid w:val="00587451"/>
    <w:rsid w:val="005974EC"/>
    <w:rsid w:val="005C71BB"/>
    <w:rsid w:val="00647640"/>
    <w:rsid w:val="006A3786"/>
    <w:rsid w:val="006A6604"/>
    <w:rsid w:val="006C7451"/>
    <w:rsid w:val="006D62E5"/>
    <w:rsid w:val="006F399C"/>
    <w:rsid w:val="00704224"/>
    <w:rsid w:val="00704302"/>
    <w:rsid w:val="00745A37"/>
    <w:rsid w:val="00763F7B"/>
    <w:rsid w:val="00796DFB"/>
    <w:rsid w:val="007B5528"/>
    <w:rsid w:val="007C08D7"/>
    <w:rsid w:val="00821468"/>
    <w:rsid w:val="00827B8E"/>
    <w:rsid w:val="0084327B"/>
    <w:rsid w:val="00893D12"/>
    <w:rsid w:val="008A5F8E"/>
    <w:rsid w:val="008C0A5C"/>
    <w:rsid w:val="008C5897"/>
    <w:rsid w:val="00916E31"/>
    <w:rsid w:val="00920535"/>
    <w:rsid w:val="009A573C"/>
    <w:rsid w:val="009D68C4"/>
    <w:rsid w:val="009F1B83"/>
    <w:rsid w:val="00A010CE"/>
    <w:rsid w:val="00A34B54"/>
    <w:rsid w:val="00A40F9C"/>
    <w:rsid w:val="00AB354E"/>
    <w:rsid w:val="00AD785D"/>
    <w:rsid w:val="00B122CF"/>
    <w:rsid w:val="00B46E98"/>
    <w:rsid w:val="00B715ED"/>
    <w:rsid w:val="00B83113"/>
    <w:rsid w:val="00BA2D07"/>
    <w:rsid w:val="00BD5926"/>
    <w:rsid w:val="00BF77C0"/>
    <w:rsid w:val="00BF7ED7"/>
    <w:rsid w:val="00C242AC"/>
    <w:rsid w:val="00C30892"/>
    <w:rsid w:val="00C500DE"/>
    <w:rsid w:val="00C66AC7"/>
    <w:rsid w:val="00CC2E0E"/>
    <w:rsid w:val="00CD3023"/>
    <w:rsid w:val="00D33EEF"/>
    <w:rsid w:val="00D36D4D"/>
    <w:rsid w:val="00D42FA7"/>
    <w:rsid w:val="00D9732A"/>
    <w:rsid w:val="00DB5DB5"/>
    <w:rsid w:val="00DE5BFE"/>
    <w:rsid w:val="00E03734"/>
    <w:rsid w:val="00E51E00"/>
    <w:rsid w:val="00E7082C"/>
    <w:rsid w:val="00E90A45"/>
    <w:rsid w:val="00EC653F"/>
    <w:rsid w:val="00EE5B83"/>
    <w:rsid w:val="00F26F06"/>
    <w:rsid w:val="00F769B1"/>
    <w:rsid w:val="00FA5A79"/>
    <w:rsid w:val="00FD43A0"/>
    <w:rsid w:val="00FE7197"/>
    <w:rsid w:val="563A687C"/>
    <w:rsid w:val="75F70C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69956"/>
  <w14:defaultImageDpi w14:val="300"/>
  <w15:docId w15:val="{1CEBFFAE-F7E5-4596-AB64-C6B9B30E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83"/>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A79"/>
    <w:pPr>
      <w:ind w:left="720"/>
      <w:contextualSpacing/>
    </w:pPr>
  </w:style>
  <w:style w:type="paragraph" w:styleId="PlainText">
    <w:name w:val="Plain Text"/>
    <w:basedOn w:val="Normal"/>
    <w:link w:val="PlainTextChar"/>
    <w:uiPriority w:val="99"/>
    <w:semiHidden/>
    <w:unhideWhenUsed/>
    <w:rsid w:val="00DE5BFE"/>
    <w:rPr>
      <w:rFonts w:ascii="Courier" w:hAnsi="Courier"/>
      <w:sz w:val="21"/>
      <w:szCs w:val="21"/>
    </w:rPr>
  </w:style>
  <w:style w:type="character" w:customStyle="1" w:styleId="PlainTextChar">
    <w:name w:val="Plain Text Char"/>
    <w:basedOn w:val="DefaultParagraphFont"/>
    <w:link w:val="PlainText"/>
    <w:uiPriority w:val="99"/>
    <w:semiHidden/>
    <w:rsid w:val="00DE5BFE"/>
    <w:rPr>
      <w:rFonts w:ascii="Courier" w:hAnsi="Courier"/>
      <w:sz w:val="21"/>
      <w:szCs w:val="21"/>
    </w:rPr>
  </w:style>
  <w:style w:type="character" w:styleId="CommentReference">
    <w:name w:val="annotation reference"/>
    <w:basedOn w:val="DefaultParagraphFont"/>
    <w:uiPriority w:val="99"/>
    <w:semiHidden/>
    <w:unhideWhenUsed/>
    <w:rsid w:val="00893D12"/>
    <w:rPr>
      <w:sz w:val="16"/>
      <w:szCs w:val="16"/>
    </w:rPr>
  </w:style>
  <w:style w:type="paragraph" w:styleId="CommentText">
    <w:name w:val="annotation text"/>
    <w:basedOn w:val="Normal"/>
    <w:link w:val="CommentTextChar"/>
    <w:uiPriority w:val="99"/>
    <w:unhideWhenUsed/>
    <w:rsid w:val="00893D12"/>
    <w:rPr>
      <w:sz w:val="20"/>
      <w:szCs w:val="20"/>
    </w:rPr>
  </w:style>
  <w:style w:type="character" w:customStyle="1" w:styleId="CommentTextChar">
    <w:name w:val="Comment Text Char"/>
    <w:basedOn w:val="DefaultParagraphFont"/>
    <w:link w:val="CommentText"/>
    <w:uiPriority w:val="99"/>
    <w:rsid w:val="00893D12"/>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893D12"/>
    <w:rPr>
      <w:b/>
      <w:bCs/>
    </w:rPr>
  </w:style>
  <w:style w:type="character" w:customStyle="1" w:styleId="CommentSubjectChar">
    <w:name w:val="Comment Subject Char"/>
    <w:basedOn w:val="CommentTextChar"/>
    <w:link w:val="CommentSubject"/>
    <w:uiPriority w:val="99"/>
    <w:semiHidden/>
    <w:rsid w:val="00893D12"/>
    <w:rPr>
      <w:rFonts w:ascii="Helvetica" w:hAnsi="Helvetica"/>
      <w:b/>
      <w:bCs/>
      <w:sz w:val="20"/>
      <w:szCs w:val="20"/>
    </w:rPr>
  </w:style>
  <w:style w:type="paragraph" w:styleId="BalloonText">
    <w:name w:val="Balloon Text"/>
    <w:basedOn w:val="Normal"/>
    <w:link w:val="BalloonTextChar"/>
    <w:uiPriority w:val="99"/>
    <w:semiHidden/>
    <w:unhideWhenUsed/>
    <w:rsid w:val="00893D12"/>
    <w:rPr>
      <w:rFonts w:ascii="Tahoma" w:hAnsi="Tahoma" w:cs="Tahoma"/>
      <w:sz w:val="16"/>
      <w:szCs w:val="16"/>
    </w:rPr>
  </w:style>
  <w:style w:type="character" w:customStyle="1" w:styleId="BalloonTextChar">
    <w:name w:val="Balloon Text Char"/>
    <w:basedOn w:val="DefaultParagraphFont"/>
    <w:link w:val="BalloonText"/>
    <w:uiPriority w:val="99"/>
    <w:semiHidden/>
    <w:rsid w:val="00893D12"/>
    <w:rPr>
      <w:rFonts w:ascii="Tahoma" w:hAnsi="Tahoma" w:cs="Tahoma"/>
      <w:sz w:val="16"/>
      <w:szCs w:val="16"/>
    </w:rPr>
  </w:style>
  <w:style w:type="paragraph" w:styleId="Header">
    <w:name w:val="header"/>
    <w:basedOn w:val="Normal"/>
    <w:link w:val="HeaderChar"/>
    <w:uiPriority w:val="99"/>
    <w:unhideWhenUsed/>
    <w:rsid w:val="003A2F19"/>
    <w:pPr>
      <w:tabs>
        <w:tab w:val="center" w:pos="4513"/>
        <w:tab w:val="right" w:pos="9026"/>
      </w:tabs>
    </w:pPr>
  </w:style>
  <w:style w:type="character" w:customStyle="1" w:styleId="HeaderChar">
    <w:name w:val="Header Char"/>
    <w:basedOn w:val="DefaultParagraphFont"/>
    <w:link w:val="Header"/>
    <w:uiPriority w:val="99"/>
    <w:rsid w:val="003A2F19"/>
    <w:rPr>
      <w:rFonts w:ascii="Helvetica" w:hAnsi="Helvetica"/>
      <w:sz w:val="22"/>
    </w:rPr>
  </w:style>
  <w:style w:type="paragraph" w:styleId="Footer">
    <w:name w:val="footer"/>
    <w:basedOn w:val="Normal"/>
    <w:link w:val="FooterChar"/>
    <w:uiPriority w:val="99"/>
    <w:unhideWhenUsed/>
    <w:rsid w:val="003A2F19"/>
    <w:pPr>
      <w:tabs>
        <w:tab w:val="center" w:pos="4513"/>
        <w:tab w:val="right" w:pos="9026"/>
      </w:tabs>
    </w:pPr>
  </w:style>
  <w:style w:type="character" w:customStyle="1" w:styleId="FooterChar">
    <w:name w:val="Footer Char"/>
    <w:basedOn w:val="DefaultParagraphFont"/>
    <w:link w:val="Footer"/>
    <w:uiPriority w:val="99"/>
    <w:rsid w:val="003A2F19"/>
    <w:rPr>
      <w:rFonts w:ascii="Helvetica" w:hAnsi="Helvetica"/>
      <w:sz w:val="22"/>
    </w:rPr>
  </w:style>
  <w:style w:type="character" w:styleId="Hyperlink">
    <w:name w:val="Hyperlink"/>
    <w:basedOn w:val="DefaultParagraphFont"/>
    <w:uiPriority w:val="99"/>
    <w:unhideWhenUsed/>
    <w:rsid w:val="00340B34"/>
    <w:rPr>
      <w:color w:val="0000FF" w:themeColor="hyperlink"/>
      <w:u w:val="single"/>
    </w:rPr>
  </w:style>
  <w:style w:type="paragraph" w:styleId="FootnoteText">
    <w:name w:val="footnote text"/>
    <w:basedOn w:val="Normal"/>
    <w:link w:val="FootnoteTextChar"/>
    <w:uiPriority w:val="99"/>
    <w:semiHidden/>
    <w:unhideWhenUsed/>
    <w:rsid w:val="00CD3023"/>
    <w:rPr>
      <w:sz w:val="20"/>
      <w:szCs w:val="20"/>
    </w:rPr>
  </w:style>
  <w:style w:type="character" w:customStyle="1" w:styleId="FootnoteTextChar">
    <w:name w:val="Footnote Text Char"/>
    <w:basedOn w:val="DefaultParagraphFont"/>
    <w:link w:val="FootnoteText"/>
    <w:uiPriority w:val="99"/>
    <w:semiHidden/>
    <w:rsid w:val="00CD3023"/>
    <w:rPr>
      <w:rFonts w:ascii="Helvetica" w:hAnsi="Helvetica"/>
      <w:sz w:val="20"/>
      <w:szCs w:val="20"/>
    </w:rPr>
  </w:style>
  <w:style w:type="character" w:styleId="FootnoteReference">
    <w:name w:val="footnote reference"/>
    <w:basedOn w:val="DefaultParagraphFont"/>
    <w:uiPriority w:val="99"/>
    <w:semiHidden/>
    <w:unhideWhenUsed/>
    <w:rsid w:val="00CD3023"/>
    <w:rPr>
      <w:vertAlign w:val="superscript"/>
    </w:rPr>
  </w:style>
  <w:style w:type="table" w:styleId="TableGrid">
    <w:name w:val="Table Grid"/>
    <w:basedOn w:val="TableNormal"/>
    <w:uiPriority w:val="59"/>
    <w:rsid w:val="00D9732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3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99d7fce9a0ba465d"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B225FC"/>
    <w:rsid w:val="00B22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DA7DEE4B3284CA2D63D1A443D5001" ma:contentTypeVersion="2" ma:contentTypeDescription="Create a new document." ma:contentTypeScope="" ma:versionID="69c6ebe73ce8522317384c1c849283a4">
  <xsd:schema xmlns:xsd="http://www.w3.org/2001/XMLSchema" xmlns:xs="http://www.w3.org/2001/XMLSchema" xmlns:p="http://schemas.microsoft.com/office/2006/metadata/properties" xmlns:ns2="b17c8967-da5d-43ac-b9db-a57d3290fcd7" targetNamespace="http://schemas.microsoft.com/office/2006/metadata/properties" ma:root="true" ma:fieldsID="85bd38b6ade90e6629ccd16d45feea66" ns2:_="">
    <xsd:import namespace="b17c8967-da5d-43ac-b9db-a57d3290fc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c8967-da5d-43ac-b9db-a57d3290f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BBFA-282F-47AD-9F5F-5AE079837F33}">
  <ds:schemaRefs>
    <ds:schemaRef ds:uri="http://schemas.microsoft.com/sharepoint/v3/contenttype/forms"/>
  </ds:schemaRefs>
</ds:datastoreItem>
</file>

<file path=customXml/itemProps2.xml><?xml version="1.0" encoding="utf-8"?>
<ds:datastoreItem xmlns:ds="http://schemas.openxmlformats.org/officeDocument/2006/customXml" ds:itemID="{FE207E00-986B-4744-AF55-E2DDB0750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c8967-da5d-43ac-b9db-a57d3290f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5B40E-8D78-48AB-AE62-B83F609AC7CA}">
  <ds:schemaRef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b17c8967-da5d-43ac-b9db-a57d3290fcd7"/>
  </ds:schemaRefs>
</ds:datastoreItem>
</file>

<file path=customXml/itemProps4.xml><?xml version="1.0" encoding="utf-8"?>
<ds:datastoreItem xmlns:ds="http://schemas.openxmlformats.org/officeDocument/2006/customXml" ds:itemID="{B7A2253F-AED0-4F88-A946-8BE2D294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Woodard</dc:creator>
  <cp:lastModifiedBy>Booler Debra</cp:lastModifiedBy>
  <cp:revision>3</cp:revision>
  <dcterms:created xsi:type="dcterms:W3CDTF">2019-07-24T16:09:00Z</dcterms:created>
  <dcterms:modified xsi:type="dcterms:W3CDTF">2019-07-24T16:09:00Z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0x010100721DA7DEE4B3284CA2D63D1A443D5001</vt:lpwstr>
  </property>
</Properties>
</file>