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5C8" w:rsidRDefault="00EF45C8" w:rsidP="00EF45C8">
      <w:pPr>
        <w:pBdr>
          <w:bottom w:val="single" w:sz="8" w:space="4" w:color="4F81BD"/>
        </w:pBdr>
        <w:spacing w:before="120" w:after="300" w:line="240" w:lineRule="auto"/>
        <w:contextualSpacing/>
        <w:jc w:val="center"/>
        <w:rPr>
          <w:rFonts w:ascii="Arial" w:hAnsi="Arial" w:cs="Arial"/>
          <w:b/>
          <w:color w:val="17365D"/>
          <w:spacing w:val="5"/>
          <w:kern w:val="28"/>
          <w:sz w:val="32"/>
          <w:szCs w:val="32"/>
        </w:rPr>
      </w:pPr>
      <w:bookmarkStart w:id="0" w:name="_GoBack"/>
      <w:bookmarkEnd w:id="0"/>
    </w:p>
    <w:p w:rsidR="00EF45C8" w:rsidRPr="002A73EC" w:rsidRDefault="00EF45C8" w:rsidP="00EF45C8">
      <w:pPr>
        <w:pBdr>
          <w:bottom w:val="single" w:sz="8" w:space="4" w:color="4F81BD"/>
        </w:pBdr>
        <w:spacing w:before="120" w:after="300" w:line="240" w:lineRule="auto"/>
        <w:contextualSpacing/>
        <w:jc w:val="center"/>
        <w:rPr>
          <w:rStyle w:val="PageNumber"/>
          <w:rFonts w:ascii="Arial" w:hAnsi="Arial" w:cs="Arial"/>
          <w:b/>
          <w:color w:val="17365D"/>
          <w:spacing w:val="5"/>
          <w:kern w:val="28"/>
          <w:sz w:val="32"/>
          <w:szCs w:val="32"/>
        </w:rPr>
      </w:pPr>
      <w:r>
        <w:rPr>
          <w:rFonts w:ascii="Arial" w:hAnsi="Arial" w:cs="Arial"/>
          <w:b/>
          <w:color w:val="17365D"/>
          <w:spacing w:val="5"/>
          <w:kern w:val="28"/>
          <w:sz w:val="32"/>
          <w:szCs w:val="32"/>
        </w:rPr>
        <w:t>Privacy Notices – a guide</w:t>
      </w:r>
    </w:p>
    <w:p w:rsidR="00EF45C8" w:rsidRDefault="00EF45C8" w:rsidP="00EF45C8">
      <w:pPr>
        <w:pStyle w:val="Header"/>
        <w:rPr>
          <w:rFonts w:ascii="Arial" w:eastAsia="Calibri" w:hAnsi="Arial" w:cs="Arial"/>
          <w:b/>
          <w:color w:val="002060"/>
          <w:sz w:val="22"/>
          <w:szCs w:val="22"/>
        </w:rPr>
      </w:pPr>
      <w:r w:rsidRPr="002A73EC">
        <w:rPr>
          <w:rFonts w:ascii="Arial" w:eastAsia="Calibri" w:hAnsi="Arial" w:cs="Arial"/>
          <w:b/>
          <w:color w:val="002060"/>
          <w:sz w:val="22"/>
          <w:szCs w:val="22"/>
        </w:rPr>
        <w:t>Background</w:t>
      </w:r>
    </w:p>
    <w:p w:rsidR="00EF45C8" w:rsidRPr="002A73EC" w:rsidRDefault="00EF45C8" w:rsidP="00EF45C8">
      <w:pPr>
        <w:pStyle w:val="Header"/>
        <w:rPr>
          <w:rFonts w:ascii="Arial" w:eastAsia="Calibri" w:hAnsi="Arial" w:cs="Arial"/>
          <w:sz w:val="22"/>
          <w:szCs w:val="22"/>
        </w:rPr>
      </w:pPr>
      <w:r w:rsidRPr="002A73EC">
        <w:rPr>
          <w:rFonts w:ascii="Arial" w:eastAsia="Calibri" w:hAnsi="Arial" w:cs="Arial"/>
          <w:b/>
          <w:sz w:val="22"/>
          <w:szCs w:val="22"/>
        </w:rPr>
        <w:br/>
      </w:r>
      <w:r w:rsidRPr="002A73EC">
        <w:rPr>
          <w:rFonts w:ascii="Arial" w:eastAsia="Calibri" w:hAnsi="Arial" w:cs="Arial"/>
          <w:sz w:val="22"/>
          <w:szCs w:val="22"/>
        </w:rPr>
        <w:t>The General Data Protection Regulation (GDPR) will come into effect on 25 May 2018.</w:t>
      </w:r>
      <w:r w:rsidRPr="002A73EC">
        <w:rPr>
          <w:rFonts w:ascii="Arial" w:eastAsia="Calibri" w:hAnsi="Arial" w:cs="Arial"/>
          <w:sz w:val="22"/>
          <w:szCs w:val="22"/>
        </w:rPr>
        <w:br/>
      </w:r>
    </w:p>
    <w:p w:rsidR="00EF45C8" w:rsidRDefault="00EF45C8" w:rsidP="00EF45C8">
      <w:pPr>
        <w:rPr>
          <w:rFonts w:ascii="Arial" w:hAnsi="Arial" w:cs="Arial"/>
        </w:rPr>
      </w:pPr>
      <w:r w:rsidRPr="002A73EC">
        <w:rPr>
          <w:rFonts w:ascii="Arial" w:eastAsia="Calibri" w:hAnsi="Arial" w:cs="Arial"/>
          <w:sz w:val="22"/>
        </w:rPr>
        <w:t>The GDPR will replace the Data Protection Act 1998 (DPA) and is considered to advance the protection of personal data and respect for privacy. Many of the GDPR’s concepts and principles are similar to those in the DPA, however there are new elements and significant enhancements. For example, there is a greater emphasis on the documentation that data controllers must keep to demonstrate their accountability and the ability for the ICO to issue fines of up to 20m Euros or 4% of an organisation’s global turnover (whichever is higher) in the event of a breach.</w:t>
      </w:r>
      <w:r w:rsidRPr="002A73EC">
        <w:rPr>
          <w:rFonts w:ascii="Arial" w:hAnsi="Arial" w:cs="Arial"/>
        </w:rPr>
        <w:t xml:space="preserve"> </w:t>
      </w:r>
    </w:p>
    <w:p w:rsidR="00475FA7" w:rsidRPr="00475FA7" w:rsidRDefault="00475FA7" w:rsidP="00EF45C8">
      <w:pPr>
        <w:rPr>
          <w:rFonts w:ascii="Arial" w:hAnsi="Arial" w:cs="Arial"/>
          <w:b/>
          <w:color w:val="002060"/>
          <w:sz w:val="22"/>
        </w:rPr>
      </w:pPr>
      <w:r w:rsidRPr="00475FA7">
        <w:rPr>
          <w:rFonts w:ascii="Arial" w:hAnsi="Arial" w:cs="Arial"/>
          <w:b/>
          <w:color w:val="002060"/>
          <w:sz w:val="22"/>
        </w:rPr>
        <w:t>Introduction to Privacy Notices</w:t>
      </w:r>
    </w:p>
    <w:p w:rsidR="00475FA7" w:rsidRDefault="00475FA7" w:rsidP="00475FA7">
      <w:pPr>
        <w:spacing w:before="120" w:after="120" w:line="240" w:lineRule="auto"/>
        <w:rPr>
          <w:rFonts w:ascii="Arial" w:eastAsia="Calibri" w:hAnsi="Arial" w:cs="Arial"/>
          <w:sz w:val="22"/>
        </w:rPr>
      </w:pPr>
      <w:r w:rsidRPr="00475FA7">
        <w:rPr>
          <w:rFonts w:ascii="Arial" w:eastAsia="Calibri" w:hAnsi="Arial" w:cs="Arial"/>
          <w:sz w:val="22"/>
        </w:rPr>
        <w:t>GDPR requires all organisations to be transparent about the personal data they process, and to inform individuals of certain things with respect to that data. This information should be contained in a ‘privacy notice’ which should be issued to all individuals whose personal data is processed by the University.</w:t>
      </w:r>
    </w:p>
    <w:p w:rsidR="00475FA7" w:rsidRPr="00475FA7" w:rsidRDefault="00475FA7" w:rsidP="00475FA7">
      <w:pPr>
        <w:spacing w:before="120" w:after="120" w:line="240" w:lineRule="auto"/>
        <w:rPr>
          <w:rFonts w:ascii="Arial" w:eastAsia="Calibri" w:hAnsi="Arial" w:cs="Arial"/>
          <w:b/>
          <w:color w:val="002060"/>
          <w:sz w:val="22"/>
        </w:rPr>
      </w:pPr>
      <w:r w:rsidRPr="00475FA7">
        <w:rPr>
          <w:rFonts w:ascii="Arial" w:eastAsia="Calibri" w:hAnsi="Arial" w:cs="Arial"/>
          <w:b/>
          <w:color w:val="002060"/>
          <w:sz w:val="22"/>
        </w:rPr>
        <w:t>The information that needs to be in a Privacy Notice</w:t>
      </w:r>
    </w:p>
    <w:p w:rsidR="00475FA7" w:rsidRDefault="00475FA7" w:rsidP="00475FA7">
      <w:pPr>
        <w:spacing w:before="120" w:after="120" w:line="240" w:lineRule="auto"/>
        <w:rPr>
          <w:rFonts w:ascii="Arial" w:eastAsia="Calibri" w:hAnsi="Arial" w:cs="Arial"/>
          <w:sz w:val="22"/>
        </w:rPr>
      </w:pPr>
      <w:r>
        <w:rPr>
          <w:rFonts w:ascii="Arial" w:eastAsia="Calibri" w:hAnsi="Arial" w:cs="Arial"/>
          <w:sz w:val="22"/>
        </w:rPr>
        <w:t xml:space="preserve">GDPR is prescriptive about the information that needs to be contained in a Privacy </w:t>
      </w:r>
      <w:r w:rsidR="00812C52">
        <w:rPr>
          <w:rFonts w:ascii="Arial" w:eastAsia="Calibri" w:hAnsi="Arial" w:cs="Arial"/>
          <w:sz w:val="22"/>
        </w:rPr>
        <w:t>Notice and this is provided in A</w:t>
      </w:r>
      <w:r>
        <w:rPr>
          <w:rFonts w:ascii="Arial" w:eastAsia="Calibri" w:hAnsi="Arial" w:cs="Arial"/>
          <w:sz w:val="22"/>
        </w:rPr>
        <w:t>ppendix 1 for information. The University’s privacy notices can be found on the GDPR workspace until 11 May 2018 in draft, and then in final form on the University’s website from 14 May 2018.</w:t>
      </w:r>
    </w:p>
    <w:p w:rsidR="00475FA7" w:rsidRPr="00475FA7" w:rsidRDefault="00475FA7" w:rsidP="00475FA7">
      <w:pPr>
        <w:spacing w:before="120" w:after="120" w:line="240" w:lineRule="auto"/>
        <w:rPr>
          <w:rFonts w:ascii="Arial" w:eastAsia="Calibri" w:hAnsi="Arial" w:cs="Arial"/>
          <w:sz w:val="22"/>
        </w:rPr>
      </w:pPr>
      <w:r>
        <w:rPr>
          <w:rFonts w:ascii="Arial" w:eastAsia="Calibri" w:hAnsi="Arial" w:cs="Arial"/>
          <w:sz w:val="22"/>
        </w:rPr>
        <w:t xml:space="preserve">These notices should cover the bulk of personal data processing undertaken by university staff </w:t>
      </w:r>
      <w:r w:rsidR="005765BF">
        <w:rPr>
          <w:rFonts w:ascii="Arial" w:eastAsia="Calibri" w:hAnsi="Arial" w:cs="Arial"/>
          <w:sz w:val="22"/>
        </w:rPr>
        <w:t>where the personal data processed is that of existing university staff, students, applicants for courses or members of the public who visit the university or correspond with it.</w:t>
      </w:r>
    </w:p>
    <w:p w:rsidR="00EE63C4" w:rsidRDefault="00EE63C4" w:rsidP="002B1538">
      <w:pPr>
        <w:rPr>
          <w:rFonts w:ascii="Arial" w:hAnsi="Arial" w:cs="Arial"/>
          <w:b/>
          <w:color w:val="002060"/>
          <w:sz w:val="22"/>
        </w:rPr>
      </w:pPr>
      <w:r w:rsidRPr="00EF45C8">
        <w:rPr>
          <w:rFonts w:ascii="Arial" w:hAnsi="Arial" w:cs="Arial"/>
          <w:b/>
          <w:color w:val="002060"/>
          <w:sz w:val="22"/>
        </w:rPr>
        <w:t>The action you need to take now</w:t>
      </w:r>
    </w:p>
    <w:p w:rsidR="00E21F4E" w:rsidRDefault="005765BF" w:rsidP="002B1538">
      <w:pPr>
        <w:rPr>
          <w:rFonts w:ascii="Arial" w:hAnsi="Arial" w:cs="Arial"/>
          <w:sz w:val="22"/>
        </w:rPr>
      </w:pPr>
      <w:r w:rsidRPr="005765BF">
        <w:rPr>
          <w:rFonts w:ascii="Arial" w:hAnsi="Arial" w:cs="Arial"/>
          <w:sz w:val="22"/>
        </w:rPr>
        <w:t xml:space="preserve">Please </w:t>
      </w:r>
      <w:r>
        <w:rPr>
          <w:rFonts w:ascii="Arial" w:hAnsi="Arial" w:cs="Arial"/>
          <w:sz w:val="22"/>
        </w:rPr>
        <w:t>read through</w:t>
      </w:r>
      <w:r w:rsidRPr="005765BF">
        <w:rPr>
          <w:rFonts w:ascii="Arial" w:hAnsi="Arial" w:cs="Arial"/>
          <w:sz w:val="22"/>
        </w:rPr>
        <w:t xml:space="preserve"> the </w:t>
      </w:r>
      <w:r>
        <w:rPr>
          <w:rFonts w:ascii="Arial" w:hAnsi="Arial" w:cs="Arial"/>
          <w:sz w:val="22"/>
        </w:rPr>
        <w:t xml:space="preserve">draft Privacy Notices on the GDPR workspace or at </w:t>
      </w:r>
      <w:hyperlink r:id="rId8" w:history="1">
        <w:r w:rsidR="00D33EC1" w:rsidRPr="00D33EC1">
          <w:rPr>
            <w:rFonts w:ascii="Arial" w:eastAsia="Calibri" w:hAnsi="Arial" w:cs="Arial"/>
            <w:color w:val="0000FF"/>
            <w:sz w:val="22"/>
            <w:u w:val="single"/>
          </w:rPr>
          <w:t>https://www.nottingham.ac.uk/utilities/privacy.aspx</w:t>
        </w:r>
      </w:hyperlink>
      <w:r>
        <w:rPr>
          <w:rFonts w:ascii="Arial" w:hAnsi="Arial" w:cs="Arial"/>
          <w:sz w:val="22"/>
        </w:rPr>
        <w:t xml:space="preserve"> after 14 May 2018. </w:t>
      </w:r>
      <w:r w:rsidR="00E21F4E" w:rsidRPr="00EF45C8">
        <w:rPr>
          <w:rFonts w:ascii="Arial" w:hAnsi="Arial" w:cs="Arial"/>
          <w:sz w:val="22"/>
        </w:rPr>
        <w:t xml:space="preserve">Any comments/additions to the privacy notices can be made until Friday 11 May 2018, after which they will be finalised and posted to the University’s website at </w:t>
      </w:r>
      <w:hyperlink r:id="rId9" w:history="1">
        <w:r w:rsidR="00E21F4E" w:rsidRPr="00EF45C8">
          <w:rPr>
            <w:rStyle w:val="Hyperlink"/>
            <w:rFonts w:ascii="Arial" w:hAnsi="Arial" w:cs="Arial"/>
            <w:sz w:val="22"/>
          </w:rPr>
          <w:t>https://www.nottingham.ac.uk/utilities/privacy.aspx</w:t>
        </w:r>
      </w:hyperlink>
      <w:r w:rsidR="00E21F4E" w:rsidRPr="00EF45C8">
        <w:rPr>
          <w:rFonts w:ascii="Arial" w:hAnsi="Arial" w:cs="Arial"/>
          <w:sz w:val="22"/>
        </w:rPr>
        <w:t>.</w:t>
      </w:r>
    </w:p>
    <w:p w:rsidR="006B0723" w:rsidRPr="00EF45C8" w:rsidRDefault="006B0723" w:rsidP="002B1538">
      <w:pPr>
        <w:rPr>
          <w:rFonts w:ascii="Arial" w:hAnsi="Arial" w:cs="Arial"/>
          <w:sz w:val="22"/>
        </w:rPr>
      </w:pPr>
      <w:r w:rsidRPr="00EF45C8">
        <w:rPr>
          <w:rFonts w:ascii="Arial" w:hAnsi="Arial" w:cs="Arial"/>
          <w:sz w:val="22"/>
        </w:rPr>
        <w:t xml:space="preserve">We can work with you to add to or amend any of the draft privacy notices so that the processing you need to carry out is covered. Once these privacy notices go live on </w:t>
      </w:r>
      <w:r w:rsidR="005C6426" w:rsidRPr="00EF45C8">
        <w:rPr>
          <w:rFonts w:ascii="Arial" w:hAnsi="Arial" w:cs="Arial"/>
          <w:sz w:val="22"/>
        </w:rPr>
        <w:t>Monday 14</w:t>
      </w:r>
      <w:r w:rsidRPr="00EF45C8">
        <w:rPr>
          <w:rFonts w:ascii="Arial" w:hAnsi="Arial" w:cs="Arial"/>
          <w:sz w:val="22"/>
        </w:rPr>
        <w:t xml:space="preserve"> May however they will be difficult to change and if you have not notified us of any additions necessary to them you may find yourself having to prepare a full privacy notice and issue that to the subjects whose data you process. Please send any and all comments and queries on the privacy notices to </w:t>
      </w:r>
      <w:hyperlink r:id="rId10" w:history="1">
        <w:r w:rsidRPr="00EF45C8">
          <w:rPr>
            <w:rStyle w:val="Hyperlink"/>
            <w:rFonts w:ascii="Arial" w:hAnsi="Arial" w:cs="Arial"/>
            <w:sz w:val="22"/>
          </w:rPr>
          <w:t>data-protection@nottingham.ac.uk</w:t>
        </w:r>
      </w:hyperlink>
      <w:r w:rsidRPr="00EF45C8">
        <w:rPr>
          <w:rFonts w:ascii="Arial" w:hAnsi="Arial" w:cs="Arial"/>
          <w:sz w:val="22"/>
        </w:rPr>
        <w:t xml:space="preserve"> and we will respond to you.</w:t>
      </w:r>
    </w:p>
    <w:p w:rsidR="00F65FA9" w:rsidRDefault="00F65FA9">
      <w:pPr>
        <w:rPr>
          <w:rFonts w:ascii="Arial" w:hAnsi="Arial" w:cs="Arial"/>
          <w:b/>
          <w:color w:val="002060"/>
          <w:sz w:val="22"/>
        </w:rPr>
      </w:pPr>
      <w:r>
        <w:rPr>
          <w:rFonts w:ascii="Arial" w:hAnsi="Arial" w:cs="Arial"/>
          <w:b/>
          <w:color w:val="002060"/>
          <w:sz w:val="22"/>
        </w:rPr>
        <w:br w:type="page"/>
      </w:r>
    </w:p>
    <w:p w:rsidR="00F65FA9" w:rsidRDefault="00F65FA9" w:rsidP="002B1538">
      <w:pPr>
        <w:rPr>
          <w:rFonts w:ascii="Arial" w:hAnsi="Arial" w:cs="Arial"/>
          <w:b/>
          <w:color w:val="002060"/>
          <w:sz w:val="22"/>
        </w:rPr>
      </w:pPr>
    </w:p>
    <w:p w:rsidR="00EE63C4" w:rsidRPr="00EF45C8" w:rsidRDefault="00EE63C4" w:rsidP="002B1538">
      <w:pPr>
        <w:rPr>
          <w:rFonts w:ascii="Arial" w:hAnsi="Arial" w:cs="Arial"/>
          <w:b/>
          <w:color w:val="002060"/>
          <w:sz w:val="22"/>
        </w:rPr>
      </w:pPr>
      <w:r w:rsidRPr="00EF45C8">
        <w:rPr>
          <w:rFonts w:ascii="Arial" w:hAnsi="Arial" w:cs="Arial"/>
          <w:b/>
          <w:color w:val="002060"/>
          <w:sz w:val="22"/>
        </w:rPr>
        <w:t>What you need to do if the privacy notice doesn’t cover the personal data processing you need to carry out</w:t>
      </w:r>
    </w:p>
    <w:p w:rsidR="002B1538" w:rsidRPr="00EF45C8" w:rsidRDefault="00305A59" w:rsidP="00863E2F">
      <w:pPr>
        <w:rPr>
          <w:rFonts w:ascii="Arial" w:hAnsi="Arial" w:cs="Arial"/>
          <w:sz w:val="22"/>
        </w:rPr>
      </w:pPr>
      <w:r w:rsidRPr="00EF45C8">
        <w:rPr>
          <w:rFonts w:ascii="Arial" w:hAnsi="Arial" w:cs="Arial"/>
          <w:sz w:val="22"/>
        </w:rPr>
        <w:t xml:space="preserve">In the first instance, please seek guidance from the data protection team at </w:t>
      </w:r>
      <w:hyperlink r:id="rId11" w:history="1">
        <w:r w:rsidRPr="00EF45C8">
          <w:rPr>
            <w:rStyle w:val="Hyperlink"/>
            <w:rFonts w:ascii="Arial" w:hAnsi="Arial" w:cs="Arial"/>
            <w:sz w:val="22"/>
          </w:rPr>
          <w:t>data-protection@nottingham.ac.uk</w:t>
        </w:r>
      </w:hyperlink>
      <w:r w:rsidRPr="00EF45C8">
        <w:rPr>
          <w:rFonts w:ascii="Arial" w:hAnsi="Arial" w:cs="Arial"/>
          <w:sz w:val="22"/>
        </w:rPr>
        <w:t>.</w:t>
      </w:r>
    </w:p>
    <w:p w:rsidR="00305A59" w:rsidRPr="00EF45C8" w:rsidRDefault="00305A59" w:rsidP="00863E2F">
      <w:pPr>
        <w:rPr>
          <w:rFonts w:ascii="Arial" w:hAnsi="Arial" w:cs="Arial"/>
          <w:sz w:val="22"/>
        </w:rPr>
      </w:pPr>
      <w:r w:rsidRPr="00EF45C8">
        <w:rPr>
          <w:rFonts w:ascii="Arial" w:hAnsi="Arial" w:cs="Arial"/>
          <w:sz w:val="22"/>
        </w:rPr>
        <w:t xml:space="preserve">If you need to provide additional privacy information, the governance team can help you identify your purpose and legal basis for processing any additional personal data and guide you in </w:t>
      </w:r>
      <w:r w:rsidR="00E24CAB" w:rsidRPr="00EF45C8">
        <w:rPr>
          <w:rFonts w:ascii="Arial" w:hAnsi="Arial" w:cs="Arial"/>
          <w:sz w:val="22"/>
        </w:rPr>
        <w:t xml:space="preserve">which other more general privacy information you should be providing a link to. </w:t>
      </w:r>
    </w:p>
    <w:p w:rsidR="00E24CAB" w:rsidRDefault="00E24CAB" w:rsidP="00863E2F">
      <w:pPr>
        <w:rPr>
          <w:rFonts w:ascii="Arial" w:hAnsi="Arial" w:cs="Arial"/>
          <w:sz w:val="22"/>
        </w:rPr>
      </w:pPr>
      <w:r w:rsidRPr="00EF45C8">
        <w:rPr>
          <w:rFonts w:ascii="Arial" w:hAnsi="Arial" w:cs="Arial"/>
          <w:sz w:val="22"/>
        </w:rPr>
        <w:t>Where additional wording is needed, an outline structure is provided in the Privacy Notice procedure.</w:t>
      </w:r>
    </w:p>
    <w:p w:rsidR="00812C52" w:rsidRDefault="00812C52" w:rsidP="00863E2F">
      <w:pPr>
        <w:rPr>
          <w:rFonts w:ascii="Arial" w:hAnsi="Arial" w:cs="Arial"/>
          <w:b/>
          <w:color w:val="002060"/>
          <w:sz w:val="22"/>
        </w:rPr>
      </w:pPr>
      <w:r>
        <w:rPr>
          <w:rFonts w:ascii="Arial" w:hAnsi="Arial" w:cs="Arial"/>
          <w:b/>
          <w:color w:val="002060"/>
          <w:sz w:val="22"/>
        </w:rPr>
        <w:t>Providing this information to research subjects</w:t>
      </w:r>
    </w:p>
    <w:p w:rsidR="00812C52" w:rsidRPr="00812C52" w:rsidRDefault="00812C52" w:rsidP="00863E2F">
      <w:pPr>
        <w:rPr>
          <w:rFonts w:ascii="Arial" w:hAnsi="Arial" w:cs="Arial"/>
          <w:sz w:val="22"/>
        </w:rPr>
      </w:pPr>
      <w:r>
        <w:rPr>
          <w:rFonts w:ascii="Arial" w:hAnsi="Arial" w:cs="Arial"/>
          <w:sz w:val="22"/>
        </w:rPr>
        <w:t xml:space="preserve">Research subjects whose personal data is processed within a research project need to receive the information that a Privacy Notice provides. This should consist of a combination of the Privacy Information available at </w:t>
      </w:r>
      <w:hyperlink r:id="rId12" w:history="1">
        <w:r w:rsidRPr="00812C52">
          <w:rPr>
            <w:rFonts w:ascii="Arial" w:eastAsia="Calibri" w:hAnsi="Arial" w:cs="Arial"/>
            <w:color w:val="0000FF"/>
            <w:sz w:val="22"/>
            <w:u w:val="single"/>
          </w:rPr>
          <w:t>https://www.nottingham.ac.uk/utilities/privacy.aspx</w:t>
        </w:r>
      </w:hyperlink>
      <w:r>
        <w:rPr>
          <w:rFonts w:ascii="Arial" w:eastAsia="Calibri" w:hAnsi="Arial" w:cs="Arial"/>
          <w:color w:val="0000FF"/>
          <w:sz w:val="22"/>
          <w:u w:val="single"/>
        </w:rPr>
        <w:t xml:space="preserve"> </w:t>
      </w:r>
      <w:r>
        <w:rPr>
          <w:rFonts w:ascii="Arial" w:eastAsia="Calibri" w:hAnsi="Arial" w:cs="Arial"/>
          <w:sz w:val="22"/>
        </w:rPr>
        <w:t xml:space="preserve">and specific information about the purposes of and legal basis or bases for processing an individual’s data. Please contact the data protection team on </w:t>
      </w:r>
      <w:hyperlink r:id="rId13" w:history="1">
        <w:r w:rsidRPr="002C5EFC">
          <w:rPr>
            <w:rStyle w:val="Hyperlink"/>
            <w:rFonts w:ascii="Arial" w:eastAsia="Calibri" w:hAnsi="Arial" w:cs="Arial"/>
            <w:sz w:val="22"/>
          </w:rPr>
          <w:t>data-protection@nottingham.ac.uk</w:t>
        </w:r>
      </w:hyperlink>
      <w:r>
        <w:rPr>
          <w:rFonts w:ascii="Arial" w:eastAsia="Calibri" w:hAnsi="Arial" w:cs="Arial"/>
          <w:sz w:val="22"/>
        </w:rPr>
        <w:t xml:space="preserve"> for help with this, especially if health or other ‘special category’ data will be being collected.</w:t>
      </w:r>
    </w:p>
    <w:p w:rsidR="005765BF" w:rsidRDefault="005765BF" w:rsidP="00863E2F">
      <w:pPr>
        <w:rPr>
          <w:rFonts w:ascii="Arial" w:hAnsi="Arial" w:cs="Arial"/>
          <w:b/>
          <w:color w:val="002060"/>
          <w:sz w:val="22"/>
        </w:rPr>
      </w:pPr>
      <w:r w:rsidRPr="005765BF">
        <w:rPr>
          <w:rFonts w:ascii="Arial" w:hAnsi="Arial" w:cs="Arial"/>
          <w:b/>
          <w:color w:val="002060"/>
          <w:sz w:val="22"/>
        </w:rPr>
        <w:t>Other information sheets that may be of use</w:t>
      </w:r>
    </w:p>
    <w:p w:rsidR="0035418C" w:rsidRPr="0035418C" w:rsidRDefault="0035418C" w:rsidP="0035418C">
      <w:pPr>
        <w:pStyle w:val="ListParagraph"/>
        <w:numPr>
          <w:ilvl w:val="0"/>
          <w:numId w:val="1"/>
        </w:numPr>
        <w:rPr>
          <w:rFonts w:ascii="Arial" w:hAnsi="Arial" w:cs="Arial"/>
          <w:sz w:val="22"/>
        </w:rPr>
      </w:pPr>
      <w:r w:rsidRPr="0035418C">
        <w:rPr>
          <w:rFonts w:ascii="Arial" w:hAnsi="Arial" w:cs="Arial"/>
          <w:sz w:val="22"/>
        </w:rPr>
        <w:t>Privacy Notice Procedure</w:t>
      </w:r>
    </w:p>
    <w:p w:rsidR="005765BF" w:rsidRPr="0035418C" w:rsidRDefault="005765BF" w:rsidP="0035418C">
      <w:pPr>
        <w:pStyle w:val="ListParagraph"/>
        <w:numPr>
          <w:ilvl w:val="0"/>
          <w:numId w:val="1"/>
        </w:numPr>
        <w:rPr>
          <w:rFonts w:ascii="Arial" w:hAnsi="Arial" w:cs="Arial"/>
          <w:sz w:val="22"/>
        </w:rPr>
      </w:pPr>
      <w:r w:rsidRPr="0035418C">
        <w:rPr>
          <w:rFonts w:ascii="Arial" w:hAnsi="Arial" w:cs="Arial"/>
          <w:sz w:val="22"/>
        </w:rPr>
        <w:t>Identifying a legal basis for processing – a guide</w:t>
      </w:r>
    </w:p>
    <w:p w:rsidR="0035418C" w:rsidRPr="0035418C" w:rsidRDefault="0035418C" w:rsidP="0035418C">
      <w:pPr>
        <w:pStyle w:val="ListParagraph"/>
        <w:numPr>
          <w:ilvl w:val="0"/>
          <w:numId w:val="1"/>
        </w:numPr>
        <w:rPr>
          <w:rFonts w:ascii="Arial" w:hAnsi="Arial" w:cs="Arial"/>
          <w:sz w:val="22"/>
        </w:rPr>
      </w:pPr>
      <w:r w:rsidRPr="0035418C">
        <w:rPr>
          <w:rFonts w:ascii="Arial" w:hAnsi="Arial" w:cs="Arial"/>
          <w:sz w:val="22"/>
        </w:rPr>
        <w:t xml:space="preserve">GDPR update - personal data </w:t>
      </w:r>
    </w:p>
    <w:p w:rsidR="00CF3465" w:rsidRDefault="00CF3465">
      <w:pPr>
        <w:rPr>
          <w:rFonts w:ascii="Arial" w:hAnsi="Arial" w:cs="Arial"/>
          <w:color w:val="002060"/>
          <w:sz w:val="22"/>
        </w:rPr>
      </w:pPr>
      <w:r>
        <w:rPr>
          <w:rFonts w:ascii="Arial" w:hAnsi="Arial" w:cs="Arial"/>
          <w:color w:val="002060"/>
          <w:sz w:val="22"/>
        </w:rPr>
        <w:br w:type="page"/>
      </w:r>
    </w:p>
    <w:p w:rsidR="00CF3465" w:rsidRDefault="00CF3465" w:rsidP="00863E2F">
      <w:pPr>
        <w:rPr>
          <w:rFonts w:ascii="Arial" w:hAnsi="Arial" w:cs="Arial"/>
          <w:b/>
          <w:color w:val="002060"/>
          <w:sz w:val="22"/>
        </w:rPr>
        <w:sectPr w:rsidR="00CF3465">
          <w:headerReference w:type="default" r:id="rId14"/>
          <w:pgSz w:w="11906" w:h="16838"/>
          <w:pgMar w:top="1440" w:right="1440" w:bottom="1440" w:left="1440" w:header="708" w:footer="708" w:gutter="0"/>
          <w:cols w:space="708"/>
          <w:docGrid w:linePitch="360"/>
        </w:sectPr>
      </w:pPr>
    </w:p>
    <w:p w:rsidR="00CF3465" w:rsidRDefault="00CF3465" w:rsidP="00863E2F">
      <w:pPr>
        <w:rPr>
          <w:rFonts w:ascii="Arial" w:hAnsi="Arial" w:cs="Arial"/>
          <w:b/>
          <w:color w:val="002060"/>
          <w:sz w:val="22"/>
        </w:rPr>
      </w:pPr>
    </w:p>
    <w:p w:rsidR="00CF3465" w:rsidRDefault="00CF3465" w:rsidP="00CF3465">
      <w:pPr>
        <w:rPr>
          <w:rFonts w:ascii="Arial" w:hAnsi="Arial" w:cs="Arial"/>
          <w:b/>
          <w:color w:val="002060"/>
          <w:sz w:val="22"/>
        </w:rPr>
      </w:pPr>
      <w:r w:rsidRPr="00CF3465">
        <w:rPr>
          <w:rFonts w:ascii="Arial" w:hAnsi="Arial" w:cs="Arial"/>
          <w:b/>
          <w:color w:val="002060"/>
          <w:sz w:val="22"/>
        </w:rPr>
        <w:t>Appendix 1</w:t>
      </w:r>
      <w:r>
        <w:rPr>
          <w:rFonts w:ascii="Arial" w:hAnsi="Arial" w:cs="Arial"/>
          <w:b/>
          <w:color w:val="002060"/>
          <w:sz w:val="22"/>
        </w:rPr>
        <w:tab/>
        <w:t>Information that must be contained in a Privacy Notice</w:t>
      </w:r>
    </w:p>
    <w:tbl>
      <w:tblPr>
        <w:tblW w:w="0" w:type="auto"/>
        <w:tblCellMar>
          <w:left w:w="0" w:type="dxa"/>
          <w:right w:w="0" w:type="dxa"/>
        </w:tblCellMar>
        <w:tblLook w:val="04A0" w:firstRow="1" w:lastRow="0" w:firstColumn="1" w:lastColumn="0" w:noHBand="0" w:noVBand="1"/>
      </w:tblPr>
      <w:tblGrid>
        <w:gridCol w:w="10295"/>
        <w:gridCol w:w="1675"/>
        <w:gridCol w:w="1968"/>
      </w:tblGrid>
      <w:tr w:rsidR="00EA3D6E" w:rsidRPr="00CF3465" w:rsidTr="00EA3D6E">
        <w:trPr>
          <w:trHeight w:val="258"/>
        </w:trPr>
        <w:tc>
          <w:tcPr>
            <w:tcW w:w="0" w:type="auto"/>
            <w:tcBorders>
              <w:top w:val="single" w:sz="8" w:space="0" w:color="005697"/>
              <w:left w:val="single" w:sz="8" w:space="0" w:color="005697"/>
              <w:bottom w:val="single" w:sz="8" w:space="0" w:color="005697"/>
              <w:right w:val="nil"/>
            </w:tcBorders>
            <w:shd w:val="clear" w:color="auto" w:fill="005697"/>
            <w:tcMar>
              <w:top w:w="92" w:type="dxa"/>
              <w:left w:w="123" w:type="dxa"/>
              <w:bottom w:w="92" w:type="dxa"/>
              <w:right w:w="123" w:type="dxa"/>
            </w:tcMar>
            <w:hideMark/>
          </w:tcPr>
          <w:p w:rsidR="00CF3465" w:rsidRPr="00EA3D6E" w:rsidRDefault="00CF3465" w:rsidP="00EA3D6E">
            <w:pPr>
              <w:pStyle w:val="NoSpacing"/>
              <w:rPr>
                <w:rFonts w:ascii="Arial" w:hAnsi="Arial" w:cs="Arial"/>
                <w:b/>
                <w:sz w:val="22"/>
                <w:lang w:eastAsia="en-GB"/>
              </w:rPr>
            </w:pPr>
            <w:r w:rsidRPr="00EA3D6E">
              <w:rPr>
                <w:rFonts w:ascii="Arial" w:hAnsi="Arial" w:cs="Arial"/>
                <w:b/>
                <w:color w:val="FFFFFF" w:themeColor="background1"/>
                <w:sz w:val="22"/>
                <w:lang w:eastAsia="en-GB"/>
              </w:rPr>
              <w:t>What information must be supplied?</w:t>
            </w:r>
          </w:p>
        </w:tc>
        <w:tc>
          <w:tcPr>
            <w:tcW w:w="0" w:type="auto"/>
            <w:tcBorders>
              <w:top w:val="single" w:sz="8" w:space="0" w:color="005697"/>
              <w:left w:val="nil"/>
              <w:bottom w:val="single" w:sz="8" w:space="0" w:color="005697"/>
              <w:right w:val="nil"/>
            </w:tcBorders>
            <w:shd w:val="clear" w:color="auto" w:fill="005697"/>
            <w:tcMar>
              <w:top w:w="92" w:type="dxa"/>
              <w:left w:w="123" w:type="dxa"/>
              <w:bottom w:w="92" w:type="dxa"/>
              <w:right w:w="123" w:type="dxa"/>
            </w:tcMar>
            <w:hideMark/>
          </w:tcPr>
          <w:p w:rsidR="00CF3465" w:rsidRPr="00EA3D6E" w:rsidRDefault="00EA3D6E" w:rsidP="00EA3D6E">
            <w:pPr>
              <w:pStyle w:val="NoSpacing"/>
              <w:rPr>
                <w:rFonts w:ascii="Arial" w:hAnsi="Arial" w:cs="Arial"/>
                <w:b/>
                <w:color w:val="FFFFFF" w:themeColor="background1"/>
                <w:sz w:val="22"/>
                <w:lang w:eastAsia="en-GB"/>
              </w:rPr>
            </w:pPr>
            <w:r w:rsidRPr="00EA3D6E">
              <w:rPr>
                <w:rFonts w:ascii="Arial" w:hAnsi="Arial" w:cs="Arial"/>
                <w:b/>
                <w:color w:val="FFFFFF" w:themeColor="background1"/>
                <w:sz w:val="22"/>
                <w:lang w:eastAsia="en-GB"/>
              </w:rPr>
              <w:t>Data from subject</w:t>
            </w:r>
          </w:p>
        </w:tc>
        <w:tc>
          <w:tcPr>
            <w:tcW w:w="0" w:type="auto"/>
            <w:tcBorders>
              <w:top w:val="single" w:sz="8" w:space="0" w:color="005697"/>
              <w:left w:val="nil"/>
              <w:bottom w:val="single" w:sz="8" w:space="0" w:color="005697"/>
              <w:right w:val="single" w:sz="8" w:space="0" w:color="005697"/>
            </w:tcBorders>
            <w:shd w:val="clear" w:color="auto" w:fill="005697"/>
            <w:tcMar>
              <w:top w:w="92" w:type="dxa"/>
              <w:left w:w="123" w:type="dxa"/>
              <w:bottom w:w="92" w:type="dxa"/>
              <w:right w:w="123" w:type="dxa"/>
            </w:tcMar>
            <w:hideMark/>
          </w:tcPr>
          <w:p w:rsidR="00CF3465" w:rsidRPr="00EA3D6E" w:rsidRDefault="00EA3D6E" w:rsidP="00EA3D6E">
            <w:pPr>
              <w:pStyle w:val="NoSpacing"/>
              <w:rPr>
                <w:rFonts w:ascii="Arial" w:hAnsi="Arial" w:cs="Arial"/>
                <w:b/>
                <w:color w:val="FFFFFF" w:themeColor="background1"/>
                <w:sz w:val="22"/>
                <w:lang w:eastAsia="en-GB"/>
              </w:rPr>
            </w:pPr>
            <w:r w:rsidRPr="00EA3D6E">
              <w:rPr>
                <w:rFonts w:ascii="Arial" w:hAnsi="Arial" w:cs="Arial"/>
                <w:b/>
                <w:color w:val="FFFFFF" w:themeColor="background1"/>
                <w:sz w:val="22"/>
                <w:lang w:eastAsia="en-GB"/>
              </w:rPr>
              <w:t>Data from elsewhere</w:t>
            </w:r>
          </w:p>
        </w:tc>
      </w:tr>
      <w:tr w:rsidR="00EA3D6E" w:rsidRPr="00CF3465" w:rsidTr="00CF3465">
        <w:trPr>
          <w:trHeight w:val="362"/>
        </w:trPr>
        <w:tc>
          <w:tcPr>
            <w:tcW w:w="0" w:type="auto"/>
            <w:tcBorders>
              <w:top w:val="single" w:sz="8" w:space="0" w:color="005697"/>
              <w:left w:val="single" w:sz="8" w:space="0" w:color="005697"/>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Identity and contact details of the controller and where applicable, the controller’s representative) and the Data Protection Officer</w:t>
            </w:r>
          </w:p>
        </w:tc>
        <w:tc>
          <w:tcPr>
            <w:tcW w:w="0" w:type="auto"/>
            <w:tcBorders>
              <w:top w:val="single" w:sz="8" w:space="0" w:color="005697"/>
              <w:left w:val="nil"/>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CF3465">
        <w:trPr>
          <w:trHeight w:val="189"/>
        </w:trPr>
        <w:tc>
          <w:tcPr>
            <w:tcW w:w="0" w:type="auto"/>
            <w:tcBorders>
              <w:top w:val="single" w:sz="8" w:space="0" w:color="005697"/>
              <w:left w:val="single" w:sz="8" w:space="0" w:color="005697"/>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Purpose of the processing and the legal basis for the processing</w:t>
            </w:r>
          </w:p>
        </w:tc>
        <w:tc>
          <w:tcPr>
            <w:tcW w:w="0" w:type="auto"/>
            <w:tcBorders>
              <w:top w:val="single" w:sz="8" w:space="0" w:color="005697"/>
              <w:left w:val="nil"/>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CF3465">
        <w:trPr>
          <w:trHeight w:val="153"/>
        </w:trPr>
        <w:tc>
          <w:tcPr>
            <w:tcW w:w="0" w:type="auto"/>
            <w:tcBorders>
              <w:top w:val="single" w:sz="8" w:space="0" w:color="005697"/>
              <w:left w:val="single" w:sz="8" w:space="0" w:color="005697"/>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The legitimate interests of the controller or third party, where applicable</w:t>
            </w:r>
          </w:p>
        </w:tc>
        <w:tc>
          <w:tcPr>
            <w:tcW w:w="0" w:type="auto"/>
            <w:tcBorders>
              <w:top w:val="single" w:sz="8" w:space="0" w:color="005697"/>
              <w:left w:val="nil"/>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CF3465">
        <w:trPr>
          <w:trHeight w:val="117"/>
        </w:trPr>
        <w:tc>
          <w:tcPr>
            <w:tcW w:w="0" w:type="auto"/>
            <w:tcBorders>
              <w:top w:val="single" w:sz="8" w:space="0" w:color="005697"/>
              <w:left w:val="single" w:sz="8" w:space="0" w:color="005697"/>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Categories of personal data</w:t>
            </w:r>
          </w:p>
        </w:tc>
        <w:tc>
          <w:tcPr>
            <w:tcW w:w="0" w:type="auto"/>
            <w:tcBorders>
              <w:top w:val="single" w:sz="8" w:space="0" w:color="005697"/>
              <w:left w:val="nil"/>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No</w:t>
            </w:r>
          </w:p>
        </w:tc>
        <w:tc>
          <w:tcPr>
            <w:tcW w:w="0" w:type="auto"/>
            <w:tcBorders>
              <w:top w:val="single" w:sz="8" w:space="0" w:color="005697"/>
              <w:left w:val="nil"/>
              <w:bottom w:val="single" w:sz="8" w:space="0" w:color="005697"/>
              <w:right w:val="single" w:sz="8" w:space="0" w:color="005697"/>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CF3465">
        <w:trPr>
          <w:trHeight w:val="209"/>
        </w:trPr>
        <w:tc>
          <w:tcPr>
            <w:tcW w:w="0" w:type="auto"/>
            <w:tcBorders>
              <w:top w:val="single" w:sz="8" w:space="0" w:color="005697"/>
              <w:left w:val="single" w:sz="8" w:space="0" w:color="005697"/>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Any recipient or categories of recipients of the personal data</w:t>
            </w:r>
          </w:p>
        </w:tc>
        <w:tc>
          <w:tcPr>
            <w:tcW w:w="0" w:type="auto"/>
            <w:tcBorders>
              <w:top w:val="single" w:sz="8" w:space="0" w:color="005697"/>
              <w:left w:val="nil"/>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CF3465">
        <w:trPr>
          <w:trHeight w:val="159"/>
        </w:trPr>
        <w:tc>
          <w:tcPr>
            <w:tcW w:w="0" w:type="auto"/>
            <w:tcBorders>
              <w:top w:val="single" w:sz="8" w:space="0" w:color="005697"/>
              <w:left w:val="single" w:sz="8" w:space="0" w:color="005697"/>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Details of transfers to third country and safeguards</w:t>
            </w:r>
          </w:p>
        </w:tc>
        <w:tc>
          <w:tcPr>
            <w:tcW w:w="0" w:type="auto"/>
            <w:tcBorders>
              <w:top w:val="single" w:sz="8" w:space="0" w:color="005697"/>
              <w:left w:val="nil"/>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CF3465">
        <w:trPr>
          <w:trHeight w:val="265"/>
        </w:trPr>
        <w:tc>
          <w:tcPr>
            <w:tcW w:w="0" w:type="auto"/>
            <w:tcBorders>
              <w:top w:val="single" w:sz="8" w:space="0" w:color="005697"/>
              <w:left w:val="single" w:sz="8" w:space="0" w:color="005697"/>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Retention period or criteria used to determine the retention period</w:t>
            </w:r>
          </w:p>
        </w:tc>
        <w:tc>
          <w:tcPr>
            <w:tcW w:w="0" w:type="auto"/>
            <w:tcBorders>
              <w:top w:val="single" w:sz="8" w:space="0" w:color="005697"/>
              <w:left w:val="nil"/>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EA3D6E">
        <w:trPr>
          <w:trHeight w:val="215"/>
        </w:trPr>
        <w:tc>
          <w:tcPr>
            <w:tcW w:w="0" w:type="auto"/>
            <w:tcBorders>
              <w:top w:val="single" w:sz="8" w:space="0" w:color="005697"/>
              <w:left w:val="single" w:sz="8" w:space="0" w:color="005697"/>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The existence of each of data subject’s rights</w:t>
            </w:r>
          </w:p>
        </w:tc>
        <w:tc>
          <w:tcPr>
            <w:tcW w:w="0" w:type="auto"/>
            <w:tcBorders>
              <w:top w:val="single" w:sz="8" w:space="0" w:color="005697"/>
              <w:left w:val="nil"/>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EA3D6E">
        <w:trPr>
          <w:trHeight w:val="179"/>
        </w:trPr>
        <w:tc>
          <w:tcPr>
            <w:tcW w:w="0" w:type="auto"/>
            <w:tcBorders>
              <w:top w:val="single" w:sz="8" w:space="0" w:color="005697"/>
              <w:left w:val="single" w:sz="8" w:space="0" w:color="005697"/>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The right to withdraw consent at any time, where relevant</w:t>
            </w:r>
          </w:p>
        </w:tc>
        <w:tc>
          <w:tcPr>
            <w:tcW w:w="0" w:type="auto"/>
            <w:tcBorders>
              <w:top w:val="single" w:sz="8" w:space="0" w:color="005697"/>
              <w:left w:val="nil"/>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EA3D6E">
        <w:trPr>
          <w:trHeight w:val="271"/>
        </w:trPr>
        <w:tc>
          <w:tcPr>
            <w:tcW w:w="0" w:type="auto"/>
            <w:tcBorders>
              <w:top w:val="single" w:sz="8" w:space="0" w:color="005697"/>
              <w:left w:val="single" w:sz="8" w:space="0" w:color="005697"/>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The right to lodge a complaint with a supervisory authority</w:t>
            </w:r>
          </w:p>
        </w:tc>
        <w:tc>
          <w:tcPr>
            <w:tcW w:w="0" w:type="auto"/>
            <w:tcBorders>
              <w:top w:val="single" w:sz="8" w:space="0" w:color="005697"/>
              <w:left w:val="nil"/>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EA3D6E">
        <w:trPr>
          <w:trHeight w:val="341"/>
        </w:trPr>
        <w:tc>
          <w:tcPr>
            <w:tcW w:w="0" w:type="auto"/>
            <w:tcBorders>
              <w:top w:val="single" w:sz="8" w:space="0" w:color="005697"/>
              <w:left w:val="single" w:sz="8" w:space="0" w:color="005697"/>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The source the personal data originates from and whether it came from publicly accessible sources</w:t>
            </w:r>
          </w:p>
        </w:tc>
        <w:tc>
          <w:tcPr>
            <w:tcW w:w="0" w:type="auto"/>
            <w:tcBorders>
              <w:top w:val="single" w:sz="8" w:space="0" w:color="005697"/>
              <w:left w:val="nil"/>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No</w:t>
            </w:r>
          </w:p>
        </w:tc>
        <w:tc>
          <w:tcPr>
            <w:tcW w:w="0" w:type="auto"/>
            <w:tcBorders>
              <w:top w:val="single" w:sz="8" w:space="0" w:color="005697"/>
              <w:left w:val="nil"/>
              <w:bottom w:val="single" w:sz="8" w:space="0" w:color="005697"/>
              <w:right w:val="single" w:sz="8" w:space="0" w:color="005697"/>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r w:rsidR="00EA3D6E" w:rsidRPr="00CF3465" w:rsidTr="00EA3D6E">
        <w:trPr>
          <w:trHeight w:val="415"/>
        </w:trPr>
        <w:tc>
          <w:tcPr>
            <w:tcW w:w="0" w:type="auto"/>
            <w:tcBorders>
              <w:top w:val="single" w:sz="8" w:space="0" w:color="005697"/>
              <w:left w:val="single" w:sz="8" w:space="0" w:color="005697"/>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Whether the provision of personal data part of a statutory or contractual requirement or obligation and possible consequences of failing to provide the personal data</w:t>
            </w:r>
          </w:p>
        </w:tc>
        <w:tc>
          <w:tcPr>
            <w:tcW w:w="0" w:type="auto"/>
            <w:tcBorders>
              <w:top w:val="single" w:sz="8" w:space="0" w:color="005697"/>
              <w:left w:val="nil"/>
              <w:bottom w:val="single" w:sz="8" w:space="0" w:color="005697"/>
              <w:right w:val="nil"/>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FFFFF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No</w:t>
            </w:r>
          </w:p>
        </w:tc>
      </w:tr>
      <w:tr w:rsidR="00EA3D6E" w:rsidRPr="00CF3465" w:rsidTr="00EA3D6E">
        <w:trPr>
          <w:trHeight w:val="540"/>
        </w:trPr>
        <w:tc>
          <w:tcPr>
            <w:tcW w:w="0" w:type="auto"/>
            <w:tcBorders>
              <w:top w:val="single" w:sz="8" w:space="0" w:color="005697"/>
              <w:left w:val="single" w:sz="8" w:space="0" w:color="005697"/>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b/>
                <w:bCs/>
                <w:color w:val="000000"/>
                <w:kern w:val="24"/>
                <w:szCs w:val="20"/>
                <w:lang w:eastAsia="en-GB"/>
              </w:rPr>
              <w:t>The existence of automated decision making, including profiling and information about how decisions are made, the significance and the consequences.</w:t>
            </w:r>
          </w:p>
        </w:tc>
        <w:tc>
          <w:tcPr>
            <w:tcW w:w="0" w:type="auto"/>
            <w:tcBorders>
              <w:top w:val="single" w:sz="8" w:space="0" w:color="005697"/>
              <w:left w:val="nil"/>
              <w:bottom w:val="single" w:sz="8" w:space="0" w:color="005697"/>
              <w:right w:val="nil"/>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c>
          <w:tcPr>
            <w:tcW w:w="0" w:type="auto"/>
            <w:tcBorders>
              <w:top w:val="single" w:sz="8" w:space="0" w:color="005697"/>
              <w:left w:val="nil"/>
              <w:bottom w:val="single" w:sz="8" w:space="0" w:color="005697"/>
              <w:right w:val="single" w:sz="8" w:space="0" w:color="005697"/>
            </w:tcBorders>
            <w:shd w:val="clear" w:color="auto" w:fill="E7E9EF"/>
            <w:tcMar>
              <w:top w:w="92" w:type="dxa"/>
              <w:left w:w="123" w:type="dxa"/>
              <w:bottom w:w="92" w:type="dxa"/>
              <w:right w:w="123" w:type="dxa"/>
            </w:tcMar>
            <w:hideMark/>
          </w:tcPr>
          <w:p w:rsidR="00CF3465" w:rsidRPr="00CF3465" w:rsidRDefault="00CF3465" w:rsidP="00CF3465">
            <w:pPr>
              <w:spacing w:after="0" w:line="276" w:lineRule="auto"/>
              <w:rPr>
                <w:rFonts w:ascii="Arial" w:eastAsia="Times New Roman" w:hAnsi="Arial" w:cs="Arial"/>
                <w:szCs w:val="20"/>
                <w:lang w:eastAsia="en-GB"/>
              </w:rPr>
            </w:pPr>
            <w:r w:rsidRPr="00CF3465">
              <w:rPr>
                <w:rFonts w:ascii="Arial" w:eastAsia="Times New Roman" w:hAnsi="Arial" w:cs="Arial"/>
                <w:color w:val="000000"/>
                <w:kern w:val="24"/>
                <w:szCs w:val="20"/>
                <w:lang w:eastAsia="en-GB"/>
              </w:rPr>
              <w:t>Yes</w:t>
            </w:r>
          </w:p>
        </w:tc>
      </w:tr>
    </w:tbl>
    <w:p w:rsidR="00CF3465" w:rsidRPr="00CF3465" w:rsidRDefault="00CF3465" w:rsidP="00863E2F">
      <w:pPr>
        <w:rPr>
          <w:rFonts w:ascii="Arial" w:hAnsi="Arial" w:cs="Arial"/>
          <w:b/>
          <w:color w:val="002060"/>
          <w:sz w:val="22"/>
        </w:rPr>
      </w:pPr>
    </w:p>
    <w:sectPr w:rsidR="00CF3465" w:rsidRPr="00CF3465" w:rsidSect="00CF346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27" w:rsidRDefault="00977A27" w:rsidP="00EF45C8">
      <w:pPr>
        <w:spacing w:after="0" w:line="240" w:lineRule="auto"/>
      </w:pPr>
      <w:r>
        <w:separator/>
      </w:r>
    </w:p>
  </w:endnote>
  <w:endnote w:type="continuationSeparator" w:id="0">
    <w:p w:rsidR="00977A27" w:rsidRDefault="00977A27" w:rsidP="00EF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kzidenz Grotesk BE Md">
    <w:altName w:val="Tw Cen MT Condensed Extra Bold"/>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27" w:rsidRDefault="00977A27" w:rsidP="00EF45C8">
      <w:pPr>
        <w:spacing w:after="0" w:line="240" w:lineRule="auto"/>
      </w:pPr>
      <w:r>
        <w:separator/>
      </w:r>
    </w:p>
  </w:footnote>
  <w:footnote w:type="continuationSeparator" w:id="0">
    <w:p w:rsidR="00977A27" w:rsidRDefault="00977A27" w:rsidP="00EF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C8" w:rsidRDefault="00EF45C8">
    <w:pPr>
      <w:pStyle w:val="Header"/>
    </w:pPr>
    <w:r w:rsidRPr="00EF45C8">
      <w:rPr>
        <w:rFonts w:ascii="Akzidenz Grotesk BE Md" w:eastAsia="Times New Roman" w:hAnsi="Akzidenz Grotesk BE Md" w:cs="Times New Roman"/>
        <w:noProof/>
        <w:color w:val="003466"/>
        <w:sz w:val="14"/>
        <w:szCs w:val="14"/>
        <w:lang w:eastAsia="en-GB"/>
      </w:rPr>
      <w:drawing>
        <wp:inline distT="0" distB="0" distL="0" distR="0" wp14:anchorId="42083BF0" wp14:editId="50F03ED4">
          <wp:extent cx="1571625" cy="580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N_Primary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600770" cy="591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35A34"/>
    <w:multiLevelType w:val="hybridMultilevel"/>
    <w:tmpl w:val="87EA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CE"/>
    <w:rsid w:val="000A3CE1"/>
    <w:rsid w:val="00130931"/>
    <w:rsid w:val="001C61CE"/>
    <w:rsid w:val="002673D3"/>
    <w:rsid w:val="002B1538"/>
    <w:rsid w:val="002B1D6F"/>
    <w:rsid w:val="00305A59"/>
    <w:rsid w:val="00334069"/>
    <w:rsid w:val="0035418C"/>
    <w:rsid w:val="003A5207"/>
    <w:rsid w:val="00475FA7"/>
    <w:rsid w:val="005765BF"/>
    <w:rsid w:val="005C3284"/>
    <w:rsid w:val="005C6426"/>
    <w:rsid w:val="006B0723"/>
    <w:rsid w:val="00705A6A"/>
    <w:rsid w:val="0074105A"/>
    <w:rsid w:val="00812C52"/>
    <w:rsid w:val="00863E2F"/>
    <w:rsid w:val="008846D6"/>
    <w:rsid w:val="009062A3"/>
    <w:rsid w:val="0093147A"/>
    <w:rsid w:val="00977A27"/>
    <w:rsid w:val="00987F89"/>
    <w:rsid w:val="00AB6658"/>
    <w:rsid w:val="00AB7FE1"/>
    <w:rsid w:val="00BA4A05"/>
    <w:rsid w:val="00CB76BB"/>
    <w:rsid w:val="00CF3465"/>
    <w:rsid w:val="00D263F8"/>
    <w:rsid w:val="00D33EC1"/>
    <w:rsid w:val="00E21F4E"/>
    <w:rsid w:val="00E24CAB"/>
    <w:rsid w:val="00EA3D6E"/>
    <w:rsid w:val="00EE63C4"/>
    <w:rsid w:val="00EF45C8"/>
    <w:rsid w:val="00F067E3"/>
    <w:rsid w:val="00F4212D"/>
    <w:rsid w:val="00F65F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B4FB5-1B8B-4FB1-99AA-916DF70B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7E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538"/>
    <w:rPr>
      <w:rFonts w:ascii="Times New Roman" w:hAnsi="Times New Roman" w:cs="Times New Roman"/>
      <w:sz w:val="24"/>
      <w:szCs w:val="24"/>
    </w:rPr>
  </w:style>
  <w:style w:type="character" w:styleId="Hyperlink">
    <w:name w:val="Hyperlink"/>
    <w:basedOn w:val="DefaultParagraphFont"/>
    <w:uiPriority w:val="99"/>
    <w:unhideWhenUsed/>
    <w:rsid w:val="002B1538"/>
    <w:rPr>
      <w:color w:val="0563C1" w:themeColor="hyperlink"/>
      <w:u w:val="single"/>
    </w:rPr>
  </w:style>
  <w:style w:type="paragraph" w:styleId="Header">
    <w:name w:val="header"/>
    <w:basedOn w:val="Normal"/>
    <w:link w:val="HeaderChar"/>
    <w:unhideWhenUsed/>
    <w:rsid w:val="00EF45C8"/>
    <w:pPr>
      <w:tabs>
        <w:tab w:val="center" w:pos="4320"/>
        <w:tab w:val="right" w:pos="8640"/>
      </w:tabs>
      <w:spacing w:after="0" w:line="240" w:lineRule="auto"/>
    </w:pPr>
    <w:rPr>
      <w:rFonts w:asciiTheme="minorHAnsi" w:eastAsiaTheme="minorEastAsia" w:hAnsiTheme="minorHAnsi"/>
      <w:sz w:val="24"/>
      <w:szCs w:val="24"/>
    </w:rPr>
  </w:style>
  <w:style w:type="character" w:customStyle="1" w:styleId="HeaderChar">
    <w:name w:val="Header Char"/>
    <w:basedOn w:val="DefaultParagraphFont"/>
    <w:link w:val="Header"/>
    <w:rsid w:val="00EF45C8"/>
    <w:rPr>
      <w:rFonts w:eastAsiaTheme="minorEastAsia"/>
      <w:sz w:val="24"/>
      <w:szCs w:val="24"/>
    </w:rPr>
  </w:style>
  <w:style w:type="character" w:styleId="PageNumber">
    <w:name w:val="page number"/>
    <w:rsid w:val="00EF45C8"/>
    <w:rPr>
      <w:sz w:val="20"/>
    </w:rPr>
  </w:style>
  <w:style w:type="paragraph" w:styleId="Footer">
    <w:name w:val="footer"/>
    <w:basedOn w:val="Normal"/>
    <w:link w:val="FooterChar"/>
    <w:uiPriority w:val="99"/>
    <w:unhideWhenUsed/>
    <w:rsid w:val="00EF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5C8"/>
    <w:rPr>
      <w:rFonts w:ascii="Verdana" w:hAnsi="Verdana"/>
      <w:sz w:val="20"/>
    </w:rPr>
  </w:style>
  <w:style w:type="paragraph" w:styleId="ListParagraph">
    <w:name w:val="List Paragraph"/>
    <w:basedOn w:val="Normal"/>
    <w:uiPriority w:val="34"/>
    <w:qFormat/>
    <w:rsid w:val="0035418C"/>
    <w:pPr>
      <w:ind w:left="720"/>
      <w:contextualSpacing/>
    </w:pPr>
  </w:style>
  <w:style w:type="paragraph" w:styleId="NoSpacing">
    <w:name w:val="No Spacing"/>
    <w:uiPriority w:val="1"/>
    <w:qFormat/>
    <w:rsid w:val="00EA3D6E"/>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652496">
      <w:bodyDiv w:val="1"/>
      <w:marLeft w:val="0"/>
      <w:marRight w:val="0"/>
      <w:marTop w:val="0"/>
      <w:marBottom w:val="0"/>
      <w:divBdr>
        <w:top w:val="none" w:sz="0" w:space="0" w:color="auto"/>
        <w:left w:val="none" w:sz="0" w:space="0" w:color="auto"/>
        <w:bottom w:val="none" w:sz="0" w:space="0" w:color="auto"/>
        <w:right w:val="none" w:sz="0" w:space="0" w:color="auto"/>
      </w:divBdr>
    </w:div>
    <w:div w:id="18896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utilities/privacy.aspx" TargetMode="External"/><Relationship Id="rId13" Type="http://schemas.openxmlformats.org/officeDocument/2006/relationships/hyperlink" Target="mailto:data-protection@notting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ttingham.ac.uk/utilities/privacy.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nottingha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nottingham.ac.uk" TargetMode="External"/><Relationship Id="rId4" Type="http://schemas.openxmlformats.org/officeDocument/2006/relationships/settings" Target="settings.xml"/><Relationship Id="rId9" Type="http://schemas.openxmlformats.org/officeDocument/2006/relationships/hyperlink" Target="https://www.nottingham.ac.uk/utilities/privacy.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36F5C-DF26-4F05-BBE5-DB87DF25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Welham</dc:creator>
  <cp:keywords/>
  <dc:description/>
  <cp:lastModifiedBy>Josephine Welham</cp:lastModifiedBy>
  <cp:revision>2</cp:revision>
  <dcterms:created xsi:type="dcterms:W3CDTF">2018-05-15T20:52:00Z</dcterms:created>
  <dcterms:modified xsi:type="dcterms:W3CDTF">2018-05-15T20:52:00Z</dcterms:modified>
</cp:coreProperties>
</file>