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7A" w:rsidR="0093617A" w:rsidRDefault="0093617A" w14:paraId="540134BD" w14:textId="2357ABAC">
      <w:pPr>
        <w:rPr>
          <w:b/>
          <w:bCs/>
        </w:rPr>
      </w:pPr>
      <w:r w:rsidRPr="0093617A">
        <w:rPr>
          <w:b/>
          <w:bCs/>
        </w:rPr>
        <w:t>Functional Hypotheses and the Engaged Point of View</w:t>
      </w:r>
    </w:p>
    <w:p w:rsidRPr="0093617A" w:rsidR="0093617A" w:rsidRDefault="0093617A" w14:paraId="40FB9013" w14:textId="6AAF24D9">
      <w:pPr>
        <w:rPr>
          <w:b/>
          <w:bCs/>
        </w:rPr>
      </w:pPr>
      <w:r w:rsidRPr="0093617A">
        <w:rPr>
          <w:b/>
          <w:bCs/>
        </w:rPr>
        <w:t>A02 Humanities</w:t>
      </w:r>
    </w:p>
    <w:p w:rsidRPr="0093617A" w:rsidR="0093617A" w:rsidP="340ED24E" w:rsidRDefault="0093617A" w14:paraId="450AE9C6" w14:textId="5135FBF8">
      <w:pPr>
        <w:spacing w:after="0" w:line="240" w:lineRule="auto"/>
        <w:rPr>
          <w:rFonts w:ascii="Calibri" w:hAnsi="Calibri" w:eastAsia="Times New Roman" w:cs="Calibri"/>
          <w:color w:val="000000" w:themeColor="text1" w:themeTint="FF" w:themeShade="FF"/>
          <w:lang w:eastAsia="en-GB"/>
        </w:rPr>
      </w:pPr>
      <w:r w:rsidRPr="0093617A" w:rsidR="0093617A">
        <w:rPr>
          <w:rFonts w:ascii="Calibri" w:hAnsi="Calibri" w:eastAsia="Times New Roman" w:cs="Calibri"/>
          <w:color w:val="000000"/>
          <w:kern w:val="0"/>
          <w:lang w:eastAsia="en-GB"/>
          <w14:ligatures w14:val="none"/>
        </w:rPr>
        <w:t xml:space="preserve">Each session will involve a </w:t>
      </w:r>
      <w:r w:rsidRPr="0093617A" w:rsidR="0093617A">
        <w:rPr>
          <w:rFonts w:ascii="Calibri" w:hAnsi="Calibri" w:eastAsia="Times New Roman" w:cs="Calibri"/>
          <w:color w:val="000000"/>
          <w:kern w:val="0"/>
          <w:lang w:eastAsia="en-GB"/>
          <w14:ligatures w14:val="none"/>
        </w:rPr>
        <w:t>40 minute</w:t>
      </w:r>
      <w:r w:rsidRPr="0093617A" w:rsidR="0093617A">
        <w:rPr>
          <w:rFonts w:ascii="Calibri" w:hAnsi="Calibri" w:eastAsia="Times New Roman" w:cs="Calibri"/>
          <w:color w:val="000000"/>
          <w:kern w:val="0"/>
          <w:lang w:eastAsia="en-GB"/>
          <w14:ligatures w14:val="none"/>
        </w:rPr>
        <w:t xml:space="preserve"> talk, </w:t>
      </w:r>
      <w:r w:rsidRPr="0093617A" w:rsidR="0093617A">
        <w:rPr>
          <w:rFonts w:ascii="Calibri" w:hAnsi="Calibri" w:eastAsia="Times New Roman" w:cs="Calibri"/>
          <w:color w:val="000000"/>
          <w:kern w:val="0"/>
          <w:lang w:eastAsia="en-GB"/>
          <w14:ligatures w14:val="none"/>
        </w:rPr>
        <w:t>5 minute</w:t>
      </w:r>
      <w:r w:rsidRPr="0093617A" w:rsidR="0093617A">
        <w:rPr>
          <w:rFonts w:ascii="Calibri" w:hAnsi="Calibri" w:eastAsia="Times New Roman" w:cs="Calibri"/>
          <w:color w:val="000000"/>
          <w:kern w:val="0"/>
          <w:lang w:eastAsia="en-GB"/>
          <w14:ligatures w14:val="none"/>
        </w:rPr>
        <w:t xml:space="preserve"> break, and </w:t>
      </w:r>
      <w:r w:rsidRPr="0093617A" w:rsidR="0093617A">
        <w:rPr>
          <w:rFonts w:ascii="Calibri" w:hAnsi="Calibri" w:eastAsia="Times New Roman" w:cs="Calibri"/>
          <w:color w:val="000000"/>
          <w:kern w:val="0"/>
          <w:lang w:eastAsia="en-GB"/>
          <w14:ligatures w14:val="none"/>
        </w:rPr>
        <w:t>30 minute</w:t>
      </w:r>
      <w:r w:rsidRPr="0093617A" w:rsidR="0093617A">
        <w:rPr>
          <w:rFonts w:ascii="Calibri" w:hAnsi="Calibri" w:eastAsia="Times New Roman" w:cs="Calibri"/>
          <w:color w:val="000000"/>
          <w:kern w:val="0"/>
          <w:lang w:eastAsia="en-GB"/>
          <w14:ligatures w14:val="none"/>
        </w:rPr>
        <w:t xml:space="preserve"> discussion</w:t>
      </w:r>
      <w:r w:rsidR="00481C35">
        <w:rPr>
          <w:rFonts w:ascii="Calibri" w:hAnsi="Calibri" w:eastAsia="Times New Roman" w:cs="Calibri"/>
          <w:color w:val="000000"/>
          <w:kern w:val="0"/>
          <w:lang w:eastAsia="en-GB"/>
          <w14:ligatures w14:val="none"/>
        </w:rPr>
        <w:t xml:space="preserve">. </w:t>
      </w:r>
      <w:r w:rsidR="00481C35">
        <w:rPr>
          <w:rFonts w:ascii="Calibri" w:hAnsi="Calibri" w:eastAsia="Times New Roman" w:cs="Calibri"/>
          <w:color w:val="000000"/>
          <w:kern w:val="0"/>
          <w:lang w:eastAsia="en-GB"/>
          <w14:ligatures w14:val="none"/>
        </w:rPr>
        <w:t xml:space="preserve">Talks and discussion will be streamed via MS Teams</w:t>
      </w:r>
      <w:r w:rsidR="00481C35">
        <w:rPr>
          <w:rFonts w:ascii="Calibri" w:hAnsi="Calibri" w:eastAsia="Times New Roman" w:cs="Calibri"/>
          <w:color w:val="000000"/>
          <w:kern w:val="0"/>
          <w:lang w:eastAsia="en-GB"/>
          <w14:ligatures w14:val="none"/>
        </w:rPr>
        <w:t xml:space="preserve">.</w:t>
      </w:r>
      <w:r w:rsidR="00481C35">
        <w:rPr>
          <w:rFonts w:ascii="Calibri" w:hAnsi="Calibri" w:eastAsia="Times New Roman" w:cs="Calibri"/>
          <w:color w:val="000000"/>
          <w:kern w:val="0"/>
          <w:lang w:eastAsia="en-GB"/>
          <w14:ligatures w14:val="none"/>
        </w:rPr>
        <w:t xml:space="preserve"> </w:t>
      </w:r>
    </w:p>
    <w:p w:rsidRPr="0093617A" w:rsidR="0093617A" w:rsidP="0093617A" w:rsidRDefault="0093617A" w14:paraId="55F4EE81" w14:textId="4BDFF314">
      <w:pPr>
        <w:spacing w:after="0" w:line="240" w:lineRule="auto"/>
        <w:rPr>
          <w:rFonts w:ascii="Calibri" w:hAnsi="Calibri" w:eastAsia="Times New Roman" w:cs="Calibri"/>
          <w:color w:val="000000"/>
          <w:kern w:val="0"/>
          <w:lang w:eastAsia="en-GB"/>
          <w14:ligatures w14:val="none"/>
        </w:rPr>
      </w:pPr>
      <w:r w:rsidRPr="0093617A" w:rsidR="0093617A">
        <w:rPr>
          <w:rFonts w:ascii="Calibri" w:hAnsi="Calibri" w:eastAsia="Times New Roman" w:cs="Calibri"/>
          <w:color w:val="000000"/>
          <w:kern w:val="0"/>
          <w:lang w:eastAsia="en-GB"/>
          <w14:ligatures w14:val="none"/>
        </w:rPr>
        <w:t xml:space="preserve"> </w:t>
      </w:r>
    </w:p>
    <w:p w:rsidR="54023A43" w:rsidP="340ED24E" w:rsidRDefault="54023A43" w14:paraId="396B5B06" w14:textId="0F2E656E">
      <w:pPr>
        <w:pStyle w:val="Normal"/>
        <w:spacing w:after="0" w:line="240" w:lineRule="auto"/>
        <w:rPr>
          <w:rFonts w:ascii="Calibri" w:hAnsi="Calibri" w:eastAsia="Times New Roman" w:cs="Calibri"/>
          <w:color w:val="000000" w:themeColor="text1" w:themeTint="FF" w:themeShade="FF"/>
          <w:lang w:eastAsia="en-GB"/>
        </w:rPr>
      </w:pPr>
      <w:r w:rsidRPr="340ED24E" w:rsidR="54023A43">
        <w:rPr>
          <w:rFonts w:ascii="Calibri" w:hAnsi="Calibri" w:eastAsia="Times New Roman" w:cs="Calibri"/>
          <w:color w:val="000000" w:themeColor="text1" w:themeTint="FF" w:themeShade="FF"/>
          <w:lang w:eastAsia="en-GB"/>
        </w:rPr>
        <w:t>Registration from 10am on 14</w:t>
      </w:r>
      <w:r w:rsidRPr="340ED24E" w:rsidR="54023A43">
        <w:rPr>
          <w:rFonts w:ascii="Calibri" w:hAnsi="Calibri" w:eastAsia="Times New Roman" w:cs="Calibri"/>
          <w:color w:val="000000" w:themeColor="text1" w:themeTint="FF" w:themeShade="FF"/>
          <w:vertAlign w:val="superscript"/>
          <w:lang w:eastAsia="en-GB"/>
        </w:rPr>
        <w:t>th</w:t>
      </w:r>
      <w:r w:rsidRPr="340ED24E" w:rsidR="54023A43">
        <w:rPr>
          <w:rFonts w:ascii="Calibri" w:hAnsi="Calibri" w:eastAsia="Times New Roman" w:cs="Calibri"/>
          <w:color w:val="000000" w:themeColor="text1" w:themeTint="FF" w:themeShade="FF"/>
          <w:lang w:eastAsia="en-GB"/>
        </w:rPr>
        <w:t xml:space="preserve">, in Humanities Building Foyer. </w:t>
      </w:r>
    </w:p>
    <w:p w:rsidR="0093617A" w:rsidRDefault="0093617A" w14:paraId="24ACD6A6" w14:textId="77777777"/>
    <w:tbl>
      <w:tblPr>
        <w:tblW w:w="14086" w:type="dxa"/>
        <w:tblInd w:w="108" w:type="dxa"/>
        <w:tblCellMar>
          <w:top w:w="15" w:type="dxa"/>
          <w:bottom w:w="15" w:type="dxa"/>
        </w:tblCellMar>
        <w:tblLook w:val="04A0" w:firstRow="1" w:lastRow="0" w:firstColumn="1" w:lastColumn="0" w:noHBand="0" w:noVBand="1"/>
      </w:tblPr>
      <w:tblGrid>
        <w:gridCol w:w="1985"/>
        <w:gridCol w:w="3260"/>
        <w:gridCol w:w="6237"/>
        <w:gridCol w:w="2604"/>
      </w:tblGrid>
      <w:tr w:rsidRPr="0093617A" w:rsidR="0093617A" w:rsidTr="1326256F" w14:paraId="1D8BBC47"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154684A4" w14:textId="77777777">
            <w:pPr>
              <w:spacing w:after="0" w:line="240" w:lineRule="auto"/>
              <w:rPr>
                <w:rFonts w:ascii="Calibri" w:hAnsi="Calibri" w:eastAsia="Times New Roman" w:cs="Calibri"/>
                <w:b w:val="1"/>
                <w:bCs w:val="1"/>
                <w:color w:val="000000"/>
                <w:kern w:val="0"/>
                <w:lang w:eastAsia="en-GB"/>
                <w14:ligatures w14:val="none"/>
              </w:rPr>
            </w:pPr>
            <w:r w:rsidRPr="0093617A" w:rsidR="0093617A">
              <w:rPr>
                <w:rFonts w:ascii="Calibri" w:hAnsi="Calibri" w:eastAsia="Times New Roman" w:cs="Calibri"/>
                <w:b w:val="1"/>
                <w:bCs w:val="1"/>
                <w:color w:val="000000"/>
                <w:kern w:val="0"/>
                <w:lang w:eastAsia="en-GB"/>
                <w14:ligatures w14:val="none"/>
              </w:rPr>
              <w:t>14th September</w:t>
            </w:r>
          </w:p>
        </w:tc>
        <w:tc>
          <w:tcPr>
            <w:tcW w:w="3260" w:type="dxa"/>
            <w:tcBorders>
              <w:top w:val="nil"/>
              <w:left w:val="nil"/>
              <w:bottom w:val="nil"/>
              <w:right w:val="nil"/>
            </w:tcBorders>
            <w:noWrap/>
            <w:tcMar/>
            <w:vAlign w:val="bottom"/>
            <w:hideMark/>
          </w:tcPr>
          <w:p w:rsidRPr="0093617A" w:rsidR="0093617A" w:rsidP="0093617A" w:rsidRDefault="0093617A" w14:paraId="4D5B562D" w14:textId="77777777">
            <w:pPr>
              <w:spacing w:after="0" w:line="240" w:lineRule="auto"/>
              <w:rPr>
                <w:rFonts w:ascii="Calibri" w:hAnsi="Calibri" w:eastAsia="Times New Roman" w:cs="Calibri"/>
                <w:b/>
                <w:bCs/>
                <w:color w:val="000000"/>
                <w:kern w:val="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4405EAF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3212FD4A"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3B79AB0B"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14C2B2B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0C4E851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3B54E48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42CFDDB8"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11AE8F4E" w14:textId="77777777">
        <w:trPr>
          <w:trHeight w:val="300"/>
        </w:trPr>
        <w:tc>
          <w:tcPr>
            <w:tcW w:w="1985" w:type="dxa"/>
            <w:tcBorders>
              <w:top w:val="nil"/>
              <w:left w:val="nil"/>
              <w:bottom w:val="nil"/>
              <w:right w:val="nil"/>
            </w:tcBorders>
            <w:noWrap/>
            <w:tcMar/>
            <w:vAlign w:val="bottom"/>
            <w:hideMark/>
          </w:tcPr>
          <w:p w:rsidR="340ED24E" w:rsidP="340ED24E" w:rsidRDefault="340ED24E" w14:paraId="0C7D90D2" w14:textId="143464ED">
            <w:pPr>
              <w:spacing w:after="0" w:line="240" w:lineRule="auto"/>
              <w:rPr>
                <w:rFonts w:ascii="Calibri" w:hAnsi="Calibri" w:eastAsia="Times New Roman" w:cs="Calibri"/>
                <w:b w:val="1"/>
                <w:bCs w:val="1"/>
                <w:color w:val="000000" w:themeColor="text1" w:themeTint="FF" w:themeShade="FF"/>
                <w:lang w:eastAsia="en-GB"/>
              </w:rPr>
            </w:pPr>
          </w:p>
          <w:p w:rsidRPr="0093617A" w:rsidR="0093617A" w:rsidP="0093617A" w:rsidRDefault="0093617A" w14:paraId="45A39E9C" w14:textId="77777777">
            <w:pPr>
              <w:spacing w:after="0" w:line="240" w:lineRule="auto"/>
              <w:rPr>
                <w:rFonts w:ascii="Calibri" w:hAnsi="Calibri" w:eastAsia="Times New Roman" w:cs="Calibri"/>
                <w:b/>
                <w:bCs/>
                <w:color w:val="000000"/>
                <w:kern w:val="0"/>
                <w:lang w:eastAsia="en-GB"/>
                <w14:ligatures w14:val="none"/>
              </w:rPr>
            </w:pPr>
            <w:r w:rsidRPr="0093617A">
              <w:rPr>
                <w:rFonts w:ascii="Calibri" w:hAnsi="Calibri" w:eastAsia="Times New Roman" w:cs="Calibri"/>
                <w:b/>
                <w:bCs/>
                <w:color w:val="000000"/>
                <w:kern w:val="0"/>
                <w:lang w:eastAsia="en-GB"/>
                <w14:ligatures w14:val="none"/>
              </w:rPr>
              <w:t>Session time</w:t>
            </w:r>
          </w:p>
        </w:tc>
        <w:tc>
          <w:tcPr>
            <w:tcW w:w="3260" w:type="dxa"/>
            <w:tcBorders>
              <w:top w:val="nil"/>
              <w:left w:val="nil"/>
              <w:bottom w:val="nil"/>
              <w:right w:val="nil"/>
            </w:tcBorders>
            <w:noWrap/>
            <w:tcMar/>
            <w:vAlign w:val="bottom"/>
            <w:hideMark/>
          </w:tcPr>
          <w:p w:rsidRPr="0093617A" w:rsidR="0093617A" w:rsidP="0093617A" w:rsidRDefault="0093617A" w14:paraId="3108A9CE" w14:textId="77777777">
            <w:pPr>
              <w:spacing w:after="0" w:line="240" w:lineRule="auto"/>
              <w:rPr>
                <w:rFonts w:ascii="Calibri" w:hAnsi="Calibri" w:eastAsia="Times New Roman" w:cs="Calibri"/>
                <w:b/>
                <w:bCs/>
                <w:color w:val="000000"/>
                <w:kern w:val="0"/>
                <w:lang w:eastAsia="en-GB"/>
                <w14:ligatures w14:val="none"/>
              </w:rPr>
            </w:pPr>
            <w:r w:rsidRPr="0093617A">
              <w:rPr>
                <w:rFonts w:ascii="Calibri" w:hAnsi="Calibri" w:eastAsia="Times New Roman" w:cs="Calibri"/>
                <w:b/>
                <w:bCs/>
                <w:color w:val="000000"/>
                <w:kern w:val="0"/>
                <w:lang w:eastAsia="en-GB"/>
                <w14:ligatures w14:val="none"/>
              </w:rPr>
              <w:t>Speaker</w:t>
            </w:r>
          </w:p>
        </w:tc>
        <w:tc>
          <w:tcPr>
            <w:tcW w:w="6237" w:type="dxa"/>
            <w:tcBorders>
              <w:top w:val="nil"/>
              <w:left w:val="nil"/>
              <w:bottom w:val="nil"/>
              <w:right w:val="nil"/>
            </w:tcBorders>
            <w:noWrap/>
            <w:tcMar/>
            <w:vAlign w:val="bottom"/>
            <w:hideMark/>
          </w:tcPr>
          <w:p w:rsidRPr="0093617A" w:rsidR="0093617A" w:rsidP="0093617A" w:rsidRDefault="0093617A" w14:paraId="3467033A" w14:textId="77777777">
            <w:pPr>
              <w:spacing w:after="0" w:line="240" w:lineRule="auto"/>
              <w:rPr>
                <w:rFonts w:ascii="Calibri" w:hAnsi="Calibri" w:eastAsia="Times New Roman" w:cs="Calibri"/>
                <w:b/>
                <w:bCs/>
                <w:color w:val="000000"/>
                <w:kern w:val="0"/>
                <w:lang w:eastAsia="en-GB"/>
                <w14:ligatures w14:val="none"/>
              </w:rPr>
            </w:pPr>
            <w:r w:rsidRPr="0093617A">
              <w:rPr>
                <w:rFonts w:ascii="Calibri" w:hAnsi="Calibri" w:eastAsia="Times New Roman" w:cs="Calibri"/>
                <w:b/>
                <w:bCs/>
                <w:color w:val="000000"/>
                <w:kern w:val="0"/>
                <w:lang w:eastAsia="en-GB"/>
                <w14:ligatures w14:val="none"/>
              </w:rPr>
              <w:t>Title</w:t>
            </w:r>
          </w:p>
        </w:tc>
        <w:tc>
          <w:tcPr>
            <w:tcW w:w="2604" w:type="dxa"/>
            <w:tcBorders>
              <w:top w:val="nil"/>
              <w:left w:val="nil"/>
              <w:bottom w:val="nil"/>
              <w:right w:val="nil"/>
            </w:tcBorders>
            <w:noWrap/>
            <w:tcMar/>
            <w:vAlign w:val="bottom"/>
            <w:hideMark/>
          </w:tcPr>
          <w:p w:rsidRPr="0093617A" w:rsidR="0093617A" w:rsidP="0093617A" w:rsidRDefault="0093617A" w14:paraId="6EF3952B" w14:textId="77777777">
            <w:pPr>
              <w:spacing w:after="0" w:line="240" w:lineRule="auto"/>
              <w:rPr>
                <w:rFonts w:ascii="Calibri" w:hAnsi="Calibri" w:eastAsia="Times New Roman" w:cs="Calibri"/>
                <w:b/>
                <w:bCs/>
                <w:color w:val="000000"/>
                <w:kern w:val="0"/>
                <w:lang w:eastAsia="en-GB"/>
                <w14:ligatures w14:val="none"/>
              </w:rPr>
            </w:pPr>
            <w:r w:rsidRPr="0093617A">
              <w:rPr>
                <w:rFonts w:ascii="Calibri" w:hAnsi="Calibri" w:eastAsia="Times New Roman" w:cs="Calibri"/>
                <w:b/>
                <w:bCs/>
                <w:color w:val="000000"/>
                <w:kern w:val="0"/>
                <w:lang w:eastAsia="en-GB"/>
                <w14:ligatures w14:val="none"/>
              </w:rPr>
              <w:t>Chair</w:t>
            </w:r>
          </w:p>
        </w:tc>
      </w:tr>
      <w:tr w:rsidRPr="0093617A" w:rsidR="0093617A" w:rsidTr="1326256F" w14:paraId="5FFD6185"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70BC6066" w14:textId="77777777">
            <w:pPr>
              <w:spacing w:after="0" w:line="240" w:lineRule="auto"/>
              <w:rPr>
                <w:rFonts w:ascii="Calibri" w:hAnsi="Calibri" w:eastAsia="Times New Roman" w:cs="Calibri"/>
                <w:b/>
                <w:bCs/>
                <w:color w:val="000000"/>
                <w:kern w:val="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05CB2AA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5E31385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214B475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3895CEF0"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16932800"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11-12.15</w:t>
            </w:r>
          </w:p>
        </w:tc>
        <w:tc>
          <w:tcPr>
            <w:tcW w:w="3260" w:type="dxa"/>
            <w:tcBorders>
              <w:top w:val="nil"/>
              <w:left w:val="nil"/>
              <w:bottom w:val="nil"/>
              <w:right w:val="nil"/>
            </w:tcBorders>
            <w:noWrap/>
            <w:tcMar/>
            <w:vAlign w:val="bottom"/>
            <w:hideMark/>
          </w:tcPr>
          <w:p w:rsidRPr="0093617A" w:rsidR="0093617A" w:rsidP="0093617A" w:rsidRDefault="0093617A" w14:paraId="26724512"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Matthieu Queloz</w:t>
            </w:r>
          </w:p>
        </w:tc>
        <w:tc>
          <w:tcPr>
            <w:tcW w:w="6237" w:type="dxa"/>
            <w:tcBorders>
              <w:top w:val="nil"/>
              <w:left w:val="nil"/>
              <w:bottom w:val="nil"/>
              <w:right w:val="nil"/>
            </w:tcBorders>
            <w:noWrap/>
            <w:tcMar/>
            <w:vAlign w:val="bottom"/>
            <w:hideMark/>
          </w:tcPr>
          <w:p w:rsidRPr="0093617A" w:rsidR="0093617A" w:rsidP="0093617A" w:rsidRDefault="0093617A" w14:paraId="08D07871" w14:textId="1A86DB53">
            <w:pPr>
              <w:spacing w:after="0" w:line="240" w:lineRule="auto"/>
              <w:rPr>
                <w:rFonts w:ascii="Calibri" w:hAnsi="Calibri" w:eastAsia="Times New Roman" w:cs="Calibri"/>
                <w:color w:val="000000"/>
                <w:kern w:val="0"/>
                <w:lang w:eastAsia="en-GB"/>
                <w14:ligatures w14:val="none"/>
              </w:rPr>
            </w:pPr>
            <w:r w:rsidRPr="53E8FC58" w:rsidR="0C64CDCF">
              <w:rPr>
                <w:rFonts w:ascii="Calibri" w:hAnsi="Calibri" w:eastAsia="Times New Roman" w:cs="Calibri"/>
                <w:color w:val="000000" w:themeColor="text1" w:themeTint="FF" w:themeShade="FF"/>
                <w:lang w:eastAsia="en-GB"/>
              </w:rPr>
              <w:t>“Do Functional Hypotheses Undermine the Engaged Point of View?”</w:t>
            </w:r>
          </w:p>
        </w:tc>
        <w:tc>
          <w:tcPr>
            <w:tcW w:w="2604" w:type="dxa"/>
            <w:tcBorders>
              <w:top w:val="nil"/>
              <w:left w:val="nil"/>
              <w:bottom w:val="nil"/>
              <w:right w:val="nil"/>
            </w:tcBorders>
            <w:noWrap/>
            <w:tcMar/>
            <w:vAlign w:val="bottom"/>
            <w:hideMark/>
          </w:tcPr>
          <w:p w:rsidRPr="0093617A" w:rsidR="0093617A" w:rsidP="0093617A" w:rsidRDefault="0093617A" w14:paraId="40A943AB"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Neil Sinclair</w:t>
            </w:r>
          </w:p>
        </w:tc>
      </w:tr>
      <w:tr w:rsidRPr="0093617A" w:rsidR="0093617A" w:rsidTr="1326256F" w14:paraId="1FF0E225"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6630A287" w14:textId="77777777">
            <w:pPr>
              <w:spacing w:after="0" w:line="240" w:lineRule="auto"/>
              <w:rPr>
                <w:rFonts w:ascii="Calibri" w:hAnsi="Calibri" w:eastAsia="Times New Roman" w:cs="Calibri"/>
                <w:color w:val="000000"/>
                <w:kern w:val="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72D810F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66100AE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10802AA6"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68B6B281"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772075FC"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12.15 - 13.30</w:t>
            </w:r>
          </w:p>
        </w:tc>
        <w:tc>
          <w:tcPr>
            <w:tcW w:w="3260" w:type="dxa"/>
            <w:tcBorders>
              <w:top w:val="nil"/>
              <w:left w:val="nil"/>
              <w:bottom w:val="nil"/>
              <w:right w:val="nil"/>
            </w:tcBorders>
            <w:noWrap/>
            <w:tcMar/>
            <w:vAlign w:val="bottom"/>
            <w:hideMark/>
          </w:tcPr>
          <w:p w:rsidRPr="0093617A" w:rsidR="0093617A" w:rsidP="0093617A" w:rsidRDefault="0093617A" w14:paraId="335B4EDE"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Lunch (own arrangements)</w:t>
            </w:r>
          </w:p>
        </w:tc>
        <w:tc>
          <w:tcPr>
            <w:tcW w:w="6237" w:type="dxa"/>
            <w:tcBorders>
              <w:top w:val="nil"/>
              <w:left w:val="nil"/>
              <w:bottom w:val="nil"/>
              <w:right w:val="nil"/>
            </w:tcBorders>
            <w:noWrap/>
            <w:tcMar/>
            <w:vAlign w:val="bottom"/>
            <w:hideMark/>
          </w:tcPr>
          <w:p w:rsidRPr="0093617A" w:rsidR="0093617A" w:rsidP="0093617A" w:rsidRDefault="0093617A" w14:paraId="50ED5A1D" w14:textId="77777777">
            <w:pPr>
              <w:spacing w:after="0" w:line="240" w:lineRule="auto"/>
              <w:rPr>
                <w:rFonts w:ascii="Calibri" w:hAnsi="Calibri" w:eastAsia="Times New Roman" w:cs="Calibri"/>
                <w:color w:val="000000"/>
                <w:kern w:val="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3CA6DE9B"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524F89BA"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43EAE2A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250691D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081699A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340ED24E" w:rsidRDefault="0093617A" w14:paraId="6611C215" w14:textId="3BE691AF">
            <w:pPr>
              <w:spacing w:after="0" w:line="240" w:lineRule="auto"/>
              <w:rPr>
                <w:rFonts w:ascii="Calibri" w:hAnsi="Calibri" w:eastAsia="Calibri" w:cs="Calibri" w:asciiTheme="minorAscii" w:hAnsiTheme="minorAscii" w:eastAsiaTheme="minorAscii" w:cstheme="minorAscii"/>
                <w:kern w:val="0"/>
                <w:sz w:val="20"/>
                <w:szCs w:val="20"/>
                <w:lang w:eastAsia="en-GB"/>
                <w14:ligatures w14:val="none"/>
              </w:rPr>
            </w:pPr>
          </w:p>
        </w:tc>
      </w:tr>
      <w:tr w:rsidRPr="0093617A" w:rsidR="0093617A" w:rsidTr="1326256F" w14:paraId="54623FCC"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50638634"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13.30 - 14.45</w:t>
            </w:r>
          </w:p>
        </w:tc>
        <w:tc>
          <w:tcPr>
            <w:tcW w:w="3260" w:type="dxa"/>
            <w:tcBorders>
              <w:top w:val="nil"/>
              <w:left w:val="nil"/>
              <w:bottom w:val="nil"/>
              <w:right w:val="nil"/>
            </w:tcBorders>
            <w:noWrap/>
            <w:tcMar/>
            <w:vAlign w:val="bottom"/>
            <w:hideMark/>
          </w:tcPr>
          <w:p w:rsidRPr="0093617A" w:rsidR="0093617A" w:rsidP="0093617A" w:rsidRDefault="0093617A" w14:paraId="1520465F"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Lilith Mace</w:t>
            </w:r>
          </w:p>
        </w:tc>
        <w:tc>
          <w:tcPr>
            <w:tcW w:w="6237" w:type="dxa"/>
            <w:tcBorders>
              <w:top w:val="nil"/>
              <w:left w:val="nil"/>
              <w:bottom w:val="nil"/>
              <w:right w:val="nil"/>
            </w:tcBorders>
            <w:noWrap/>
            <w:tcMar/>
            <w:vAlign w:val="bottom"/>
            <w:hideMark/>
          </w:tcPr>
          <w:p w:rsidRPr="0093617A" w:rsidR="0093617A" w:rsidP="0093617A" w:rsidRDefault="0093617A" w14:paraId="123856F3"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"The Point of Doubt"</w:t>
            </w:r>
          </w:p>
        </w:tc>
        <w:tc>
          <w:tcPr>
            <w:tcW w:w="2604" w:type="dxa"/>
            <w:tcBorders>
              <w:top w:val="nil"/>
              <w:left w:val="nil"/>
              <w:bottom w:val="nil"/>
              <w:right w:val="nil"/>
            </w:tcBorders>
            <w:noWrap/>
            <w:tcMar/>
            <w:vAlign w:val="bottom"/>
            <w:hideMark/>
          </w:tcPr>
          <w:p w:rsidRPr="0093617A" w:rsidR="0093617A" w:rsidP="0093617A" w:rsidRDefault="0093617A" w14:paraId="166C50BE" w14:textId="43B85A7E">
            <w:pPr>
              <w:spacing w:after="0" w:line="240" w:lineRule="auto"/>
              <w:rPr>
                <w:rFonts w:ascii="Calibri" w:hAnsi="Calibri" w:eastAsia="Times New Roman" w:cs="Calibri"/>
                <w:color w:val="000000"/>
                <w:kern w:val="0"/>
                <w:lang w:eastAsia="en-GB"/>
                <w14:ligatures w14:val="none"/>
              </w:rPr>
            </w:pPr>
            <w:r w:rsidRPr="53E8FC58" w:rsidR="78003B0D">
              <w:rPr>
                <w:rFonts w:ascii="Calibri" w:hAnsi="Calibri" w:eastAsia="Times New Roman" w:cs="Calibri"/>
                <w:color w:val="000000" w:themeColor="text1" w:themeTint="FF" w:themeShade="FF"/>
                <w:lang w:eastAsia="en-GB"/>
              </w:rPr>
              <w:t>Jim Chamberlain</w:t>
            </w:r>
          </w:p>
        </w:tc>
      </w:tr>
      <w:tr w:rsidRPr="0093617A" w:rsidR="0093617A" w:rsidTr="1326256F" w14:paraId="314F7764"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5836467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353AC09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29FA330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7E84376E"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6E709658"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50A3F7B1"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14.45 - 15</w:t>
            </w:r>
          </w:p>
        </w:tc>
        <w:tc>
          <w:tcPr>
            <w:tcW w:w="3260" w:type="dxa"/>
            <w:tcBorders>
              <w:top w:val="nil"/>
              <w:left w:val="nil"/>
              <w:bottom w:val="nil"/>
              <w:right w:val="nil"/>
            </w:tcBorders>
            <w:noWrap/>
            <w:tcMar/>
            <w:vAlign w:val="bottom"/>
            <w:hideMark/>
          </w:tcPr>
          <w:p w:rsidRPr="0093617A" w:rsidR="0093617A" w:rsidP="0093617A" w:rsidRDefault="0093617A" w14:paraId="3D621C44"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Break</w:t>
            </w:r>
          </w:p>
        </w:tc>
        <w:tc>
          <w:tcPr>
            <w:tcW w:w="6237" w:type="dxa"/>
            <w:tcBorders>
              <w:top w:val="nil"/>
              <w:left w:val="nil"/>
              <w:bottom w:val="nil"/>
              <w:right w:val="nil"/>
            </w:tcBorders>
            <w:noWrap/>
            <w:tcMar/>
            <w:vAlign w:val="bottom"/>
            <w:hideMark/>
          </w:tcPr>
          <w:p w:rsidRPr="0093617A" w:rsidR="0093617A" w:rsidP="0093617A" w:rsidRDefault="0093617A" w14:paraId="77E323CF" w14:textId="77777777">
            <w:pPr>
              <w:spacing w:after="0" w:line="240" w:lineRule="auto"/>
              <w:rPr>
                <w:rFonts w:ascii="Calibri" w:hAnsi="Calibri" w:eastAsia="Times New Roman" w:cs="Calibri"/>
                <w:color w:val="000000"/>
                <w:kern w:val="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5FE1A47F"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7D78B753"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7044919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1193711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6065F0E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41D758D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4D9FA79F"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1B1DEF54"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15 - 16.15</w:t>
            </w:r>
          </w:p>
        </w:tc>
        <w:tc>
          <w:tcPr>
            <w:tcW w:w="3260" w:type="dxa"/>
            <w:tcBorders>
              <w:top w:val="nil"/>
              <w:left w:val="nil"/>
              <w:bottom w:val="nil"/>
              <w:right w:val="nil"/>
            </w:tcBorders>
            <w:noWrap/>
            <w:tcMar/>
            <w:vAlign w:val="bottom"/>
            <w:hideMark/>
          </w:tcPr>
          <w:p w:rsidRPr="0093617A" w:rsidR="0093617A" w:rsidP="0093617A" w:rsidRDefault="0093617A" w14:paraId="66732CE0"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Angie O'Sullivan</w:t>
            </w:r>
          </w:p>
        </w:tc>
        <w:tc>
          <w:tcPr>
            <w:tcW w:w="6237" w:type="dxa"/>
            <w:tcBorders>
              <w:top w:val="nil"/>
              <w:left w:val="nil"/>
              <w:bottom w:val="nil"/>
              <w:right w:val="nil"/>
            </w:tcBorders>
            <w:noWrap/>
            <w:tcMar/>
            <w:vAlign w:val="bottom"/>
            <w:hideMark/>
          </w:tcPr>
          <w:p w:rsidR="340ED24E" w:rsidP="340ED24E" w:rsidRDefault="340ED24E" w14:paraId="0746E67B" w14:textId="498F6D0B">
            <w:pPr>
              <w:spacing w:before="0" w:beforeAutospacing="off" w:after="0" w:afterAutospacing="off"/>
            </w:pPr>
            <w:r w:rsidRPr="340ED24E" w:rsidR="340ED24E">
              <w:rPr>
                <w:rFonts w:ascii="Calibri" w:hAnsi="Calibri" w:eastAsia="Calibri" w:cs="Calibri"/>
                <w:b w:val="0"/>
                <w:bCs w:val="0"/>
                <w:i w:val="0"/>
                <w:iCs w:val="0"/>
                <w:strike w:val="0"/>
                <w:dstrike w:val="0"/>
                <w:color w:val="000000" w:themeColor="text1" w:themeTint="FF" w:themeShade="FF"/>
                <w:sz w:val="22"/>
                <w:szCs w:val="22"/>
                <w:u w:val="none"/>
              </w:rPr>
              <w:t>"From Function to Fiction"</w:t>
            </w:r>
          </w:p>
        </w:tc>
        <w:tc>
          <w:tcPr>
            <w:tcW w:w="2604" w:type="dxa"/>
            <w:tcBorders>
              <w:top w:val="nil"/>
              <w:left w:val="nil"/>
              <w:bottom w:val="nil"/>
              <w:right w:val="nil"/>
            </w:tcBorders>
            <w:noWrap/>
            <w:tcMar/>
            <w:vAlign w:val="bottom"/>
            <w:hideMark/>
          </w:tcPr>
          <w:p w:rsidRPr="0093617A" w:rsidR="0093617A" w:rsidP="0093617A" w:rsidRDefault="0093617A" w14:paraId="2C6F8720"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Joe Cunningham</w:t>
            </w:r>
          </w:p>
        </w:tc>
      </w:tr>
      <w:tr w:rsidRPr="0093617A" w:rsidR="0093617A" w:rsidTr="1326256F" w14:paraId="4A40AC6D"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00EE662B" w14:textId="77777777">
            <w:pPr>
              <w:spacing w:after="0" w:line="240" w:lineRule="auto"/>
              <w:rPr>
                <w:rFonts w:ascii="Calibri" w:hAnsi="Calibri" w:eastAsia="Times New Roman" w:cs="Calibri"/>
                <w:color w:val="000000"/>
                <w:kern w:val="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54D2263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1D10AE0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23F006C6"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1D0771A1"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2E23AAEA"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16.15-16.30</w:t>
            </w:r>
          </w:p>
        </w:tc>
        <w:tc>
          <w:tcPr>
            <w:tcW w:w="3260" w:type="dxa"/>
            <w:tcBorders>
              <w:top w:val="nil"/>
              <w:left w:val="nil"/>
              <w:bottom w:val="nil"/>
              <w:right w:val="nil"/>
            </w:tcBorders>
            <w:noWrap/>
            <w:tcMar/>
            <w:vAlign w:val="bottom"/>
            <w:hideMark/>
          </w:tcPr>
          <w:p w:rsidRPr="0093617A" w:rsidR="0093617A" w:rsidP="0093617A" w:rsidRDefault="0093617A" w14:paraId="29609A44"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Break</w:t>
            </w:r>
          </w:p>
        </w:tc>
        <w:tc>
          <w:tcPr>
            <w:tcW w:w="6237" w:type="dxa"/>
            <w:tcBorders>
              <w:top w:val="nil"/>
              <w:left w:val="nil"/>
              <w:bottom w:val="nil"/>
              <w:right w:val="nil"/>
            </w:tcBorders>
            <w:noWrap/>
            <w:tcMar/>
            <w:vAlign w:val="bottom"/>
            <w:hideMark/>
          </w:tcPr>
          <w:p w:rsidRPr="0093617A" w:rsidR="0093617A" w:rsidP="0093617A" w:rsidRDefault="0093617A" w14:paraId="7A0AF293" w14:textId="77777777">
            <w:pPr>
              <w:spacing w:after="0" w:line="240" w:lineRule="auto"/>
              <w:rPr>
                <w:rFonts w:ascii="Calibri" w:hAnsi="Calibri" w:eastAsia="Times New Roman" w:cs="Calibri"/>
                <w:color w:val="000000"/>
                <w:kern w:val="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1108E35F"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128735F2"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419EF73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0A7EEEF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42A3635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1126A4A6"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0B220E7B"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682D3CE2"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16.30 - 17.45</w:t>
            </w:r>
          </w:p>
        </w:tc>
        <w:tc>
          <w:tcPr>
            <w:tcW w:w="3260" w:type="dxa"/>
            <w:tcBorders>
              <w:top w:val="nil"/>
              <w:left w:val="nil"/>
              <w:bottom w:val="nil"/>
              <w:right w:val="nil"/>
            </w:tcBorders>
            <w:noWrap/>
            <w:tcMar/>
            <w:vAlign w:val="bottom"/>
            <w:hideMark/>
          </w:tcPr>
          <w:p w:rsidRPr="0093617A" w:rsidR="0093617A" w:rsidP="0093617A" w:rsidRDefault="0093617A" w14:paraId="2A859E3E"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Michael Hannon</w:t>
            </w:r>
          </w:p>
        </w:tc>
        <w:tc>
          <w:tcPr>
            <w:tcW w:w="6237" w:type="dxa"/>
            <w:tcBorders>
              <w:top w:val="nil"/>
              <w:left w:val="nil"/>
              <w:bottom w:val="nil"/>
              <w:right w:val="nil"/>
            </w:tcBorders>
            <w:noWrap/>
            <w:tcMar/>
            <w:vAlign w:val="bottom"/>
            <w:hideMark/>
          </w:tcPr>
          <w:p w:rsidRPr="0093617A" w:rsidR="0093617A" w:rsidP="0093617A" w:rsidRDefault="0093617A" w14:paraId="631478D4"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"Reflective Stability &amp; the Function of Moral Practices"</w:t>
            </w:r>
          </w:p>
        </w:tc>
        <w:tc>
          <w:tcPr>
            <w:tcW w:w="2604" w:type="dxa"/>
            <w:tcBorders>
              <w:top w:val="nil"/>
              <w:left w:val="nil"/>
              <w:bottom w:val="nil"/>
              <w:right w:val="nil"/>
            </w:tcBorders>
            <w:noWrap/>
            <w:tcMar/>
            <w:vAlign w:val="bottom"/>
            <w:hideMark/>
          </w:tcPr>
          <w:p w:rsidRPr="0093617A" w:rsidR="0093617A" w:rsidP="0093617A" w:rsidRDefault="0093617A" w14:paraId="236C41B9"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Alice Monypenny</w:t>
            </w:r>
          </w:p>
        </w:tc>
      </w:tr>
      <w:tr w:rsidRPr="0093617A" w:rsidR="0093617A" w:rsidTr="1326256F" w14:paraId="487E2A07"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349247F8" w14:textId="77777777">
            <w:pPr>
              <w:spacing w:after="0" w:line="240" w:lineRule="auto"/>
              <w:rPr>
                <w:rFonts w:ascii="Calibri" w:hAnsi="Calibri" w:eastAsia="Times New Roman" w:cs="Calibri"/>
                <w:color w:val="000000"/>
                <w:kern w:val="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6ADFD34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27B930F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06997730"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6288A101"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2B1F343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672334D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4CAEF68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6F35158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3C4E4703" w14:textId="77777777">
        <w:trPr>
          <w:trHeight w:val="300"/>
        </w:trPr>
        <w:tc>
          <w:tcPr>
            <w:tcW w:w="1985" w:type="dxa"/>
            <w:tcBorders>
              <w:top w:val="nil"/>
              <w:left w:val="nil"/>
              <w:bottom w:val="nil"/>
              <w:right w:val="nil"/>
            </w:tcBorders>
            <w:noWrap/>
            <w:tcMar/>
            <w:vAlign w:val="bottom"/>
            <w:hideMark/>
          </w:tcPr>
          <w:p w:rsidR="0093617A" w:rsidP="0093617A" w:rsidRDefault="0093617A" w14:paraId="1DCABB02" w14:textId="77777777">
            <w:pPr>
              <w:spacing w:after="0" w:line="240" w:lineRule="auto"/>
              <w:rPr>
                <w:rFonts w:ascii="Calibri" w:hAnsi="Calibri" w:eastAsia="Times New Roman" w:cs="Calibri"/>
                <w:b/>
                <w:bCs/>
                <w:color w:val="000000"/>
                <w:kern w:val="0"/>
                <w:lang w:eastAsia="en-GB"/>
                <w14:ligatures w14:val="none"/>
              </w:rPr>
            </w:pPr>
          </w:p>
          <w:p w:rsidR="0093617A" w:rsidP="0093617A" w:rsidRDefault="0093617A" w14:paraId="74B2B0E9" w14:textId="77777777">
            <w:pPr>
              <w:spacing w:after="0" w:line="240" w:lineRule="auto"/>
              <w:rPr>
                <w:rFonts w:ascii="Calibri" w:hAnsi="Calibri" w:eastAsia="Times New Roman" w:cs="Calibri"/>
                <w:b/>
                <w:bCs/>
                <w:color w:val="000000"/>
                <w:kern w:val="0"/>
                <w:lang w:eastAsia="en-GB"/>
                <w14:ligatures w14:val="none"/>
              </w:rPr>
            </w:pPr>
          </w:p>
          <w:p w:rsidR="0093617A" w:rsidP="0093617A" w:rsidRDefault="0093617A" w14:paraId="230FB844" w14:textId="77777777">
            <w:pPr>
              <w:spacing w:after="0" w:line="240" w:lineRule="auto"/>
              <w:rPr>
                <w:rFonts w:ascii="Calibri" w:hAnsi="Calibri" w:eastAsia="Times New Roman" w:cs="Calibri"/>
                <w:b/>
                <w:bCs/>
                <w:color w:val="000000"/>
                <w:kern w:val="0"/>
                <w:lang w:eastAsia="en-GB"/>
                <w14:ligatures w14:val="none"/>
              </w:rPr>
            </w:pPr>
          </w:p>
          <w:p w:rsidR="340ED24E" w:rsidP="340ED24E" w:rsidRDefault="340ED24E" w14:paraId="0B8AE694" w14:textId="0839419A">
            <w:pPr>
              <w:spacing w:after="0" w:line="240" w:lineRule="auto"/>
              <w:rPr>
                <w:rFonts w:ascii="Calibri" w:hAnsi="Calibri" w:eastAsia="Times New Roman" w:cs="Calibri"/>
                <w:b w:val="1"/>
                <w:bCs w:val="1"/>
                <w:color w:val="000000" w:themeColor="text1" w:themeTint="FF" w:themeShade="FF"/>
                <w:lang w:eastAsia="en-GB"/>
              </w:rPr>
            </w:pPr>
          </w:p>
          <w:p w:rsidR="340ED24E" w:rsidP="340ED24E" w:rsidRDefault="340ED24E" w14:paraId="081897C6" w14:textId="611431D5">
            <w:pPr>
              <w:spacing w:after="0" w:line="240" w:lineRule="auto"/>
              <w:rPr>
                <w:rFonts w:ascii="Calibri" w:hAnsi="Calibri" w:eastAsia="Times New Roman" w:cs="Calibri"/>
                <w:b w:val="1"/>
                <w:bCs w:val="1"/>
                <w:color w:val="000000" w:themeColor="text1" w:themeTint="FF" w:themeShade="FF"/>
                <w:lang w:eastAsia="en-GB"/>
              </w:rPr>
            </w:pPr>
          </w:p>
          <w:p w:rsidRPr="0093617A" w:rsidR="0093617A" w:rsidP="0093617A" w:rsidRDefault="0093617A" w14:paraId="2E959B06" w14:textId="306EBB2F">
            <w:pPr>
              <w:spacing w:after="0" w:line="240" w:lineRule="auto"/>
              <w:rPr>
                <w:rFonts w:ascii="Calibri" w:hAnsi="Calibri" w:eastAsia="Times New Roman" w:cs="Calibri"/>
                <w:b/>
                <w:bCs/>
                <w:color w:val="000000"/>
                <w:kern w:val="0"/>
                <w:lang w:eastAsia="en-GB"/>
                <w14:ligatures w14:val="none"/>
              </w:rPr>
            </w:pPr>
            <w:r w:rsidRPr="0093617A">
              <w:rPr>
                <w:rFonts w:ascii="Calibri" w:hAnsi="Calibri" w:eastAsia="Times New Roman" w:cs="Calibri"/>
                <w:b/>
                <w:bCs/>
                <w:color w:val="000000"/>
                <w:kern w:val="0"/>
                <w:lang w:eastAsia="en-GB"/>
                <w14:ligatures w14:val="none"/>
              </w:rPr>
              <w:lastRenderedPageBreak/>
              <w:t>15th September</w:t>
            </w:r>
          </w:p>
        </w:tc>
        <w:tc>
          <w:tcPr>
            <w:tcW w:w="3260" w:type="dxa"/>
            <w:tcBorders>
              <w:top w:val="nil"/>
              <w:left w:val="nil"/>
              <w:bottom w:val="nil"/>
              <w:right w:val="nil"/>
            </w:tcBorders>
            <w:noWrap/>
            <w:tcMar/>
            <w:vAlign w:val="bottom"/>
            <w:hideMark/>
          </w:tcPr>
          <w:p w:rsidRPr="0093617A" w:rsidR="0093617A" w:rsidP="0093617A" w:rsidRDefault="0093617A" w14:paraId="3C691217" w14:textId="77777777">
            <w:pPr>
              <w:spacing w:after="0" w:line="240" w:lineRule="auto"/>
              <w:rPr>
                <w:rFonts w:ascii="Calibri" w:hAnsi="Calibri" w:eastAsia="Times New Roman" w:cs="Calibri"/>
                <w:b/>
                <w:bCs/>
                <w:color w:val="000000"/>
                <w:kern w:val="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25E7DF3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4B69FE51"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4B673C5B"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220712E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046D3FC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6E35561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0F33A5AB"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5F6412F0"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5283417B"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9 - 10.15</w:t>
            </w:r>
          </w:p>
        </w:tc>
        <w:tc>
          <w:tcPr>
            <w:tcW w:w="3260" w:type="dxa"/>
            <w:tcBorders>
              <w:top w:val="nil"/>
              <w:left w:val="nil"/>
              <w:bottom w:val="nil"/>
              <w:right w:val="nil"/>
            </w:tcBorders>
            <w:noWrap/>
            <w:tcMar/>
            <w:vAlign w:val="bottom"/>
            <w:hideMark/>
          </w:tcPr>
          <w:p w:rsidRPr="0093617A" w:rsidR="0093617A" w:rsidP="0093617A" w:rsidRDefault="0093617A" w14:paraId="1073DE08"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Catarina Dutilh Novaes (online)</w:t>
            </w:r>
          </w:p>
        </w:tc>
        <w:tc>
          <w:tcPr>
            <w:tcW w:w="6237" w:type="dxa"/>
            <w:tcBorders>
              <w:top w:val="nil"/>
              <w:left w:val="nil"/>
              <w:bottom w:val="nil"/>
              <w:right w:val="nil"/>
            </w:tcBorders>
            <w:noWrap/>
            <w:tcMar/>
            <w:vAlign w:val="bottom"/>
            <w:hideMark/>
          </w:tcPr>
          <w:p w:rsidRPr="0093617A" w:rsidR="0093617A" w:rsidP="0093617A" w:rsidRDefault="0093617A" w14:paraId="4819A449"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"Should we be genealogically anxious?"</w:t>
            </w:r>
          </w:p>
        </w:tc>
        <w:tc>
          <w:tcPr>
            <w:tcW w:w="2604" w:type="dxa"/>
            <w:tcBorders>
              <w:top w:val="nil"/>
              <w:left w:val="nil"/>
              <w:bottom w:val="nil"/>
              <w:right w:val="nil"/>
            </w:tcBorders>
            <w:noWrap/>
            <w:tcMar/>
            <w:vAlign w:val="bottom"/>
            <w:hideMark/>
          </w:tcPr>
          <w:p w:rsidRPr="0093617A" w:rsidR="0093617A" w:rsidP="0093617A" w:rsidRDefault="0093617A" w14:paraId="1AC05405"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Michael Hannon</w:t>
            </w:r>
          </w:p>
        </w:tc>
      </w:tr>
      <w:tr w:rsidRPr="0093617A" w:rsidR="0093617A" w:rsidTr="1326256F" w14:paraId="11E649CA"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1D377A33" w14:textId="77777777">
            <w:pPr>
              <w:spacing w:after="0" w:line="240" w:lineRule="auto"/>
              <w:rPr>
                <w:rFonts w:ascii="Calibri" w:hAnsi="Calibri" w:eastAsia="Times New Roman" w:cs="Calibri"/>
                <w:color w:val="000000"/>
                <w:kern w:val="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7457B76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642442E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5E26CF29"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4DFFF505"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4AA98174"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10.15-10.30</w:t>
            </w:r>
          </w:p>
        </w:tc>
        <w:tc>
          <w:tcPr>
            <w:tcW w:w="3260" w:type="dxa"/>
            <w:tcBorders>
              <w:top w:val="nil"/>
              <w:left w:val="nil"/>
              <w:bottom w:val="nil"/>
              <w:right w:val="nil"/>
            </w:tcBorders>
            <w:noWrap/>
            <w:tcMar/>
            <w:vAlign w:val="bottom"/>
            <w:hideMark/>
          </w:tcPr>
          <w:p w:rsidRPr="0093617A" w:rsidR="0093617A" w:rsidP="0093617A" w:rsidRDefault="0093617A" w14:paraId="63D82C62"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Break</w:t>
            </w:r>
          </w:p>
        </w:tc>
        <w:tc>
          <w:tcPr>
            <w:tcW w:w="6237" w:type="dxa"/>
            <w:tcBorders>
              <w:top w:val="nil"/>
              <w:left w:val="nil"/>
              <w:bottom w:val="nil"/>
              <w:right w:val="nil"/>
            </w:tcBorders>
            <w:noWrap/>
            <w:tcMar/>
            <w:vAlign w:val="bottom"/>
            <w:hideMark/>
          </w:tcPr>
          <w:p w:rsidRPr="0093617A" w:rsidR="0093617A" w:rsidP="0093617A" w:rsidRDefault="0093617A" w14:paraId="772BA55B" w14:textId="77777777">
            <w:pPr>
              <w:spacing w:after="0" w:line="240" w:lineRule="auto"/>
              <w:rPr>
                <w:rFonts w:ascii="Calibri" w:hAnsi="Calibri" w:eastAsia="Times New Roman" w:cs="Calibri"/>
                <w:color w:val="000000"/>
                <w:kern w:val="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60739AA1"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368F09AE"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6F67952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60" w:type="dxa"/>
            <w:tcBorders>
              <w:top w:val="nil"/>
              <w:left w:val="nil"/>
              <w:bottom w:val="nil"/>
              <w:right w:val="nil"/>
            </w:tcBorders>
            <w:noWrap/>
            <w:tcMar/>
            <w:vAlign w:val="bottom"/>
            <w:hideMark/>
          </w:tcPr>
          <w:p w:rsidRPr="0093617A" w:rsidR="0093617A" w:rsidP="0093617A" w:rsidRDefault="0093617A" w14:paraId="73D31A2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237" w:type="dxa"/>
            <w:tcBorders>
              <w:top w:val="nil"/>
              <w:left w:val="nil"/>
              <w:bottom w:val="nil"/>
              <w:right w:val="nil"/>
            </w:tcBorders>
            <w:noWrap/>
            <w:tcMar/>
            <w:vAlign w:val="bottom"/>
            <w:hideMark/>
          </w:tcPr>
          <w:p w:rsidRPr="0093617A" w:rsidR="0093617A" w:rsidP="0093617A" w:rsidRDefault="0093617A" w14:paraId="049ED0D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604" w:type="dxa"/>
            <w:tcBorders>
              <w:top w:val="nil"/>
              <w:left w:val="nil"/>
              <w:bottom w:val="nil"/>
              <w:right w:val="nil"/>
            </w:tcBorders>
            <w:noWrap/>
            <w:tcMar/>
            <w:vAlign w:val="bottom"/>
            <w:hideMark/>
          </w:tcPr>
          <w:p w:rsidRPr="0093617A" w:rsidR="0093617A" w:rsidP="0093617A" w:rsidRDefault="0093617A" w14:paraId="5BBE8206"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3617A" w:rsidR="0093617A" w:rsidTr="1326256F" w14:paraId="2F37B715" w14:textId="77777777">
        <w:trPr>
          <w:trHeight w:val="300"/>
        </w:trPr>
        <w:tc>
          <w:tcPr>
            <w:tcW w:w="1985" w:type="dxa"/>
            <w:tcBorders>
              <w:top w:val="nil"/>
              <w:left w:val="nil"/>
              <w:bottom w:val="nil"/>
              <w:right w:val="nil"/>
            </w:tcBorders>
            <w:noWrap/>
            <w:tcMar/>
            <w:vAlign w:val="bottom"/>
            <w:hideMark/>
          </w:tcPr>
          <w:p w:rsidRPr="0093617A" w:rsidR="0093617A" w:rsidP="0093617A" w:rsidRDefault="0093617A" w14:paraId="28732876"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10.30 - 11.45</w:t>
            </w:r>
          </w:p>
        </w:tc>
        <w:tc>
          <w:tcPr>
            <w:tcW w:w="3260" w:type="dxa"/>
            <w:tcBorders>
              <w:top w:val="nil"/>
              <w:left w:val="nil"/>
              <w:bottom w:val="nil"/>
              <w:right w:val="nil"/>
            </w:tcBorders>
            <w:noWrap/>
            <w:tcMar/>
            <w:vAlign w:val="bottom"/>
            <w:hideMark/>
          </w:tcPr>
          <w:p w:rsidRPr="0093617A" w:rsidR="0093617A" w:rsidP="0093617A" w:rsidRDefault="0093617A" w14:paraId="64E3FEF2" w14:textId="77777777">
            <w:pPr>
              <w:spacing w:after="0" w:line="240" w:lineRule="auto"/>
              <w:rPr>
                <w:rFonts w:ascii="Calibri" w:hAnsi="Calibri" w:eastAsia="Times New Roman" w:cs="Calibri"/>
                <w:color w:val="000000"/>
                <w:kern w:val="0"/>
                <w:lang w:eastAsia="en-GB"/>
                <w14:ligatures w14:val="none"/>
              </w:rPr>
            </w:pPr>
            <w:r w:rsidRPr="0093617A">
              <w:rPr>
                <w:rFonts w:ascii="Calibri" w:hAnsi="Calibri" w:eastAsia="Times New Roman" w:cs="Calibri"/>
                <w:color w:val="000000"/>
                <w:kern w:val="0"/>
                <w:lang w:eastAsia="en-GB"/>
                <w14:ligatures w14:val="none"/>
              </w:rPr>
              <w:t>Alex Prescott-Couch</w:t>
            </w:r>
          </w:p>
        </w:tc>
        <w:tc>
          <w:tcPr>
            <w:tcW w:w="6237" w:type="dxa"/>
            <w:tcBorders>
              <w:top w:val="nil"/>
              <w:left w:val="nil"/>
              <w:bottom w:val="nil"/>
              <w:right w:val="nil"/>
            </w:tcBorders>
            <w:noWrap/>
            <w:tcMar/>
            <w:vAlign w:val="bottom"/>
            <w:hideMark/>
          </w:tcPr>
          <w:p w:rsidR="340ED24E" w:rsidP="340ED24E" w:rsidRDefault="340ED24E" w14:paraId="55B6291F" w14:textId="6A62BBCD">
            <w:pPr>
              <w:spacing w:before="0" w:beforeAutospacing="off" w:after="0" w:afterAutospacing="off"/>
            </w:pPr>
            <w:r w:rsidRPr="340ED24E" w:rsidR="340ED24E">
              <w:rPr>
                <w:rFonts w:ascii="Calibri" w:hAnsi="Calibri" w:eastAsia="Calibri" w:cs="Calibri"/>
                <w:b w:val="0"/>
                <w:bCs w:val="0"/>
                <w:i w:val="0"/>
                <w:iCs w:val="0"/>
                <w:strike w:val="0"/>
                <w:dstrike w:val="0"/>
                <w:color w:val="000000" w:themeColor="text1" w:themeTint="FF" w:themeShade="FF"/>
                <w:sz w:val="22"/>
                <w:szCs w:val="22"/>
                <w:u w:val="none"/>
              </w:rPr>
              <w:t>"Genealogy and Functional Pluralism"</w:t>
            </w:r>
          </w:p>
        </w:tc>
        <w:tc>
          <w:tcPr>
            <w:tcW w:w="2604" w:type="dxa"/>
            <w:tcBorders>
              <w:top w:val="nil"/>
              <w:left w:val="nil"/>
              <w:bottom w:val="nil"/>
              <w:right w:val="nil"/>
            </w:tcBorders>
            <w:noWrap/>
            <w:tcMar/>
            <w:vAlign w:val="bottom"/>
            <w:hideMark/>
          </w:tcPr>
          <w:p w:rsidRPr="0093617A" w:rsidR="0093617A" w:rsidP="1326256F" w:rsidRDefault="0093617A" w14:paraId="561643E6" w14:textId="3225C448">
            <w:pPr>
              <w:spacing w:after="0" w:line="240" w:lineRule="auto"/>
              <w:rPr>
                <w:rFonts w:ascii="Calibri" w:hAnsi="Calibri" w:eastAsia="Calibri" w:cs="Calibri" w:asciiTheme="minorAscii" w:hAnsiTheme="minorAscii" w:eastAsiaTheme="minorAscii" w:cstheme="minorAscii"/>
                <w:kern w:val="0"/>
                <w:sz w:val="22"/>
                <w:szCs w:val="22"/>
                <w:lang w:eastAsia="en-GB"/>
                <w14:ligatures w14:val="none"/>
              </w:rPr>
            </w:pPr>
            <w:r w:rsidRPr="1326256F" w:rsidR="162919D4">
              <w:rPr>
                <w:rFonts w:ascii="Calibri" w:hAnsi="Calibri" w:eastAsia="Calibri" w:cs="Calibri" w:asciiTheme="minorAscii" w:hAnsiTheme="minorAscii" w:eastAsiaTheme="minorAscii" w:cstheme="minorAscii"/>
                <w:sz w:val="22"/>
                <w:szCs w:val="22"/>
                <w:lang w:eastAsia="en-GB"/>
              </w:rPr>
              <w:t>Ben Curtis</w:t>
            </w:r>
          </w:p>
        </w:tc>
      </w:tr>
    </w:tbl>
    <w:p w:rsidR="00913D33" w:rsidRDefault="00913D33" w14:paraId="42BDC528" w14:textId="77777777"/>
    <w:p w:rsidR="678D1625" w:rsidP="340ED24E" w:rsidRDefault="678D1625" w14:paraId="0AC2289D" w14:textId="440C42CF">
      <w:pPr>
        <w:pStyle w:val="Normal"/>
        <w:bidi w:val="0"/>
        <w:spacing w:before="0" w:beforeAutospacing="off" w:after="200" w:afterAutospacing="off" w:line="276" w:lineRule="auto"/>
        <w:ind w:left="0" w:right="0"/>
        <w:jc w:val="left"/>
      </w:pPr>
      <w:r w:rsidRPr="340ED24E" w:rsidR="678D1625">
        <w:rPr>
          <w:b w:val="1"/>
          <w:bCs w:val="1"/>
        </w:rPr>
        <w:t>Conference Theme</w:t>
      </w:r>
    </w:p>
    <w:p w:rsidR="678D1625" w:rsidRDefault="678D1625" w14:paraId="732DD3A5" w14:textId="48614469">
      <w:r w:rsidRPr="340ED24E" w:rsidR="678D1625">
        <w:rPr>
          <w:rFonts w:ascii="Calibri" w:hAnsi="Calibri" w:eastAsia="Calibri" w:cs="Calibri"/>
          <w:noProof w:val="0"/>
          <w:sz w:val="22"/>
          <w:szCs w:val="22"/>
          <w:lang w:val="en-GB"/>
        </w:rPr>
        <w:t xml:space="preserve">A recent popular trend proposes that we can make progress in disciplines such as ethics, epistemology, aesthetics, and modality by turning attention away from an investigation of their apparent objects (goodness, knowledge, etc.), towards the question of what purposes might be served by thinking in terms of their characteristic concepts. As part of this trend, we find hypotheses concerning the functional role the concepts of </w:t>
      </w:r>
      <w:r w:rsidRPr="340ED24E" w:rsidR="678D1625">
        <w:rPr>
          <w:rFonts w:ascii="Calibri" w:hAnsi="Calibri" w:eastAsia="Calibri" w:cs="Calibri"/>
          <w:b w:val="1"/>
          <w:bCs w:val="1"/>
          <w:noProof w:val="0"/>
          <w:sz w:val="22"/>
          <w:szCs w:val="22"/>
          <w:lang w:val="en-GB"/>
        </w:rPr>
        <w:t>goodness</w:t>
      </w:r>
      <w:r w:rsidRPr="340ED24E" w:rsidR="678D1625">
        <w:rPr>
          <w:rFonts w:ascii="Calibri" w:hAnsi="Calibri" w:eastAsia="Calibri" w:cs="Calibri"/>
          <w:noProof w:val="0"/>
          <w:sz w:val="22"/>
          <w:szCs w:val="22"/>
          <w:lang w:val="en-GB"/>
        </w:rPr>
        <w:t xml:space="preserve">, </w:t>
      </w:r>
      <w:r w:rsidRPr="340ED24E" w:rsidR="678D1625">
        <w:rPr>
          <w:rFonts w:ascii="Calibri" w:hAnsi="Calibri" w:eastAsia="Calibri" w:cs="Calibri"/>
          <w:b w:val="1"/>
          <w:bCs w:val="1"/>
          <w:noProof w:val="0"/>
          <w:sz w:val="22"/>
          <w:szCs w:val="22"/>
          <w:lang w:val="en-GB"/>
        </w:rPr>
        <w:t>knowledge</w:t>
      </w:r>
      <w:r w:rsidRPr="340ED24E" w:rsidR="678D1625">
        <w:rPr>
          <w:rFonts w:ascii="Calibri" w:hAnsi="Calibri" w:eastAsia="Calibri" w:cs="Calibri"/>
          <w:noProof w:val="0"/>
          <w:sz w:val="22"/>
          <w:szCs w:val="22"/>
          <w:lang w:val="en-GB"/>
        </w:rPr>
        <w:t xml:space="preserve">, </w:t>
      </w:r>
      <w:r w:rsidRPr="340ED24E" w:rsidR="678D1625">
        <w:rPr>
          <w:rFonts w:ascii="Calibri" w:hAnsi="Calibri" w:eastAsia="Calibri" w:cs="Calibri"/>
          <w:b w:val="1"/>
          <w:bCs w:val="1"/>
          <w:noProof w:val="0"/>
          <w:sz w:val="22"/>
          <w:szCs w:val="22"/>
          <w:lang w:val="en-GB"/>
        </w:rPr>
        <w:t>necessity</w:t>
      </w:r>
      <w:r w:rsidRPr="340ED24E" w:rsidR="678D1625">
        <w:rPr>
          <w:rFonts w:ascii="Calibri" w:hAnsi="Calibri" w:eastAsia="Calibri" w:cs="Calibri"/>
          <w:noProof w:val="0"/>
          <w:sz w:val="22"/>
          <w:szCs w:val="22"/>
          <w:lang w:val="en-GB"/>
        </w:rPr>
        <w:t xml:space="preserve">, and </w:t>
      </w:r>
      <w:r w:rsidRPr="340ED24E" w:rsidR="678D1625">
        <w:rPr>
          <w:rFonts w:ascii="Calibri" w:hAnsi="Calibri" w:eastAsia="Calibri" w:cs="Calibri"/>
          <w:b w:val="1"/>
          <w:bCs w:val="1"/>
          <w:noProof w:val="0"/>
          <w:sz w:val="22"/>
          <w:szCs w:val="22"/>
          <w:lang w:val="en-GB"/>
        </w:rPr>
        <w:t>beauty</w:t>
      </w:r>
      <w:r w:rsidRPr="340ED24E" w:rsidR="678D1625">
        <w:rPr>
          <w:rFonts w:ascii="Calibri" w:hAnsi="Calibri" w:eastAsia="Calibri" w:cs="Calibri"/>
          <w:noProof w:val="0"/>
          <w:sz w:val="22"/>
          <w:szCs w:val="22"/>
          <w:lang w:val="en-GB"/>
        </w:rPr>
        <w:t xml:space="preserve">, among others. But how should we understand the notion of functional role contained within such hypotheses? And how should those who actively deploy those concepts react to such hypotheses? These and related questions have recently begun to be explored in general ways that bridge boundaries between philosophical subdisciplines (for example, in M Queloz’ 2021 book </w:t>
      </w:r>
      <w:r w:rsidRPr="340ED24E" w:rsidR="678D1625">
        <w:rPr>
          <w:rFonts w:ascii="Calibri" w:hAnsi="Calibri" w:eastAsia="Calibri" w:cs="Calibri"/>
          <w:i w:val="1"/>
          <w:iCs w:val="1"/>
          <w:noProof w:val="0"/>
          <w:sz w:val="22"/>
          <w:szCs w:val="22"/>
          <w:lang w:val="en-GB"/>
        </w:rPr>
        <w:t>The Practical Origin of Ideas</w:t>
      </w:r>
      <w:r w:rsidRPr="340ED24E" w:rsidR="678D1625">
        <w:rPr>
          <w:rFonts w:ascii="Calibri" w:hAnsi="Calibri" w:eastAsia="Calibri" w:cs="Calibri"/>
          <w:noProof w:val="0"/>
          <w:sz w:val="22"/>
          <w:szCs w:val="22"/>
          <w:lang w:val="en-GB"/>
        </w:rPr>
        <w:t>). This conference aims to further this inter-sub-disciplinary approach.</w:t>
      </w:r>
    </w:p>
    <w:p w:rsidR="678D1625" w:rsidRDefault="678D1625" w14:paraId="3F966C35" w14:textId="0C347929">
      <w:r w:rsidRPr="340ED24E" w:rsidR="678D1625">
        <w:rPr>
          <w:rFonts w:ascii="Calibri" w:hAnsi="Calibri" w:eastAsia="Calibri" w:cs="Calibri"/>
          <w:noProof w:val="0"/>
          <w:sz w:val="22"/>
          <w:szCs w:val="22"/>
          <w:lang w:val="en-GB"/>
        </w:rPr>
        <w:t>The aims of the conference, then, are threefold. First, to explore diverse ways of understanding the notion of "function" used in functional hypotheses (concerning a concept, set of concepts, or conceptual/linguistic practice). Second, to explore the impacts that distinct types of functional hypotheses can and should have on the perspectives of the engaged users of those concepts. Third, to pursue these first two aims in an inter-sub-disciplinary way that builds bridges between philosophy of science, philosophical methodology, (meta)epistemology, metaethics, modality, philosophy of language, aesthetics, and other philosophical subdisciplines</w:t>
      </w:r>
    </w:p>
    <w:p w:rsidR="340ED24E" w:rsidP="340ED24E" w:rsidRDefault="340ED24E" w14:paraId="3C5539D6" w14:textId="5E4EE207">
      <w:pPr>
        <w:pStyle w:val="Normal"/>
      </w:pPr>
    </w:p>
    <w:p w:rsidR="678D1625" w:rsidP="340ED24E" w:rsidRDefault="678D1625" w14:paraId="513A058F" w14:textId="3EA75327">
      <w:pPr>
        <w:pStyle w:val="Normal"/>
        <w:rPr>
          <w:b w:val="1"/>
          <w:bCs w:val="1"/>
        </w:rPr>
      </w:pPr>
      <w:r w:rsidRPr="340ED24E" w:rsidR="678D1625">
        <w:rPr>
          <w:b w:val="1"/>
          <w:bCs w:val="1"/>
        </w:rPr>
        <w:t>Paper Abstracts</w:t>
      </w:r>
    </w:p>
    <w:p w:rsidR="340ED24E" w:rsidP="340ED24E" w:rsidRDefault="340ED24E" w14:paraId="080ABA91" w14:textId="13B6B2E1">
      <w:pPr>
        <w:rPr>
          <w:rFonts w:ascii="Calibri" w:hAnsi="Calibri" w:eastAsia="Calibri" w:cs="Calibri"/>
          <w:b w:val="1"/>
          <w:bCs w:val="1"/>
          <w:noProof w:val="0"/>
          <w:sz w:val="22"/>
          <w:szCs w:val="22"/>
          <w:lang w:val="en-GB"/>
        </w:rPr>
      </w:pPr>
    </w:p>
    <w:p w:rsidR="678D1625" w:rsidRDefault="678D1625" w14:paraId="12B5B7AB" w14:textId="5FCDD490">
      <w:r w:rsidRPr="340ED24E" w:rsidR="678D1625">
        <w:rPr>
          <w:rFonts w:ascii="Calibri" w:hAnsi="Calibri" w:eastAsia="Calibri" w:cs="Calibri"/>
          <w:b w:val="1"/>
          <w:bCs w:val="1"/>
          <w:noProof w:val="0"/>
          <w:sz w:val="22"/>
          <w:szCs w:val="22"/>
          <w:lang w:val="en-GB"/>
        </w:rPr>
        <w:t>Michael Hannon “Reflective Stability &amp; the Function of Moral Practices”</w:t>
      </w:r>
    </w:p>
    <w:p w:rsidR="678D1625" w:rsidRDefault="678D1625" w14:paraId="1FE96198" w14:textId="77EC637D">
      <w:r w:rsidRPr="340ED24E" w:rsidR="678D1625">
        <w:rPr>
          <w:rFonts w:ascii="Calibri" w:hAnsi="Calibri" w:eastAsia="Calibri" w:cs="Calibri"/>
          <w:noProof w:val="0"/>
          <w:sz w:val="22"/>
          <w:szCs w:val="22"/>
          <w:lang w:val="en-GB"/>
        </w:rPr>
        <w:t>We humans live by high-minded ideals such as justice, knowledge, and truth. These are familiar philosophical notions, but we rarely think of these ideas in terms of their point or practical function. In this talk, I argue that we should think of our conceptual practices as tools serving practical needs. I then explore whether these practices are 'reflectively stable.' A common view (endorsed by Hume, Bernard Williams, Matthieu Queloz, and others) is that our commitments to justice, truthfulness, and other ideals are 'stable' under philosophical reflection. Hume and Williams claim that we can remain committed to justice and truthfulness while recognising the instrumental function of these practices. In contrast, I ask whether our commitment to justice and truthfulness is threatened once we come to understand these practices in instrumental terms.</w:t>
      </w:r>
    </w:p>
    <w:p w:rsidR="340ED24E" w:rsidP="340ED24E" w:rsidRDefault="340ED24E" w14:paraId="1BC7AAE8" w14:textId="41970F3F">
      <w:pPr>
        <w:pStyle w:val="Normal"/>
        <w:rPr>
          <w:rFonts w:ascii="Calibri" w:hAnsi="Calibri" w:eastAsia="Calibri" w:cs="Calibri"/>
          <w:noProof w:val="0"/>
          <w:sz w:val="22"/>
          <w:szCs w:val="22"/>
          <w:lang w:val="en-GB"/>
        </w:rPr>
      </w:pPr>
    </w:p>
    <w:p w:rsidR="678D1625" w:rsidP="340ED24E" w:rsidRDefault="678D1625" w14:paraId="1A0D3F3B" w14:textId="2438E803">
      <w:pPr>
        <w:pStyle w:val="Normal"/>
        <w:rPr>
          <w:rFonts w:ascii="Calibri" w:hAnsi="Calibri" w:eastAsia="Calibri" w:cs="Calibri"/>
          <w:noProof w:val="0"/>
          <w:sz w:val="22"/>
          <w:szCs w:val="22"/>
          <w:lang w:val="en-GB"/>
        </w:rPr>
      </w:pPr>
      <w:r w:rsidRPr="340ED24E" w:rsidR="678D1625">
        <w:rPr>
          <w:rFonts w:ascii="Calibri" w:hAnsi="Calibri" w:eastAsia="Calibri" w:cs="Calibri"/>
          <w:b w:val="1"/>
          <w:bCs w:val="1"/>
          <w:noProof w:val="0"/>
          <w:sz w:val="22"/>
          <w:szCs w:val="22"/>
          <w:lang w:val="en-GB"/>
        </w:rPr>
        <w:t>Alex Prescott-</w:t>
      </w:r>
      <w:r w:rsidRPr="340ED24E" w:rsidR="678D1625">
        <w:rPr>
          <w:rFonts w:ascii="Calibri" w:hAnsi="Calibri" w:eastAsia="Calibri" w:cs="Calibri"/>
          <w:b w:val="1"/>
          <w:bCs w:val="1"/>
          <w:noProof w:val="0"/>
          <w:sz w:val="22"/>
          <w:szCs w:val="22"/>
          <w:lang w:val="en-GB"/>
        </w:rPr>
        <w:t>Couch “</w:t>
      </w:r>
      <w:r w:rsidRPr="340ED24E" w:rsidR="5E704A24">
        <w:rPr>
          <w:rFonts w:ascii="Calibri" w:hAnsi="Calibri" w:eastAsia="Calibri" w:cs="Calibri"/>
          <w:b w:val="1"/>
          <w:bCs w:val="1"/>
          <w:noProof w:val="0"/>
          <w:sz w:val="22"/>
          <w:szCs w:val="22"/>
          <w:lang w:val="en-GB"/>
        </w:rPr>
        <w:t>Genealogy and Functional Pluralism"</w:t>
      </w:r>
    </w:p>
    <w:p w:rsidR="678D1625" w:rsidP="340ED24E" w:rsidRDefault="678D1625" w14:paraId="777AD71A" w14:textId="51484521">
      <w:pPr>
        <w:pStyle w:val="Normal"/>
        <w:rPr>
          <w:rFonts w:ascii="Calibri" w:hAnsi="Calibri" w:eastAsia="Calibri" w:cs="Calibri"/>
          <w:b w:val="0"/>
          <w:bCs w:val="0"/>
          <w:noProof w:val="0"/>
          <w:sz w:val="22"/>
          <w:szCs w:val="22"/>
          <w:lang w:val="en-GB"/>
        </w:rPr>
      </w:pPr>
      <w:r w:rsidRPr="340ED24E" w:rsidR="678D1625">
        <w:rPr>
          <w:rFonts w:ascii="Calibri" w:hAnsi="Calibri" w:eastAsia="Calibri" w:cs="Calibri"/>
          <w:b w:val="0"/>
          <w:bCs w:val="0"/>
          <w:noProof w:val="0"/>
          <w:sz w:val="22"/>
          <w:szCs w:val="22"/>
          <w:lang w:val="en-GB"/>
        </w:rPr>
        <w:t>There</w:t>
      </w:r>
      <w:r w:rsidRPr="340ED24E" w:rsidR="678D1625">
        <w:rPr>
          <w:rFonts w:ascii="Calibri" w:hAnsi="Calibri" w:eastAsia="Calibri" w:cs="Calibri"/>
          <w:b w:val="0"/>
          <w:bCs w:val="0"/>
          <w:noProof w:val="0"/>
          <w:sz w:val="22"/>
          <w:szCs w:val="22"/>
          <w:lang w:val="en-GB"/>
        </w:rPr>
        <w:t xml:space="preserve"> has been a flurry of recent interest in so-called “pragmatic genealogies” (Craig 1990, Williams 2003, Queloz 2021), idealized state-of-nature models that serve to help us understand the function served by a concept, institution, or practice. Such genealogies are often contrasted what I will call “deconstructive genealogies” in the Nietzschean-Foucauldian tradition, which emphasize historical specificity and functional plurality. Should we think of these two </w:t>
      </w:r>
      <w:r w:rsidRPr="340ED24E" w:rsidR="678D1625">
        <w:rPr>
          <w:rFonts w:ascii="Calibri" w:hAnsi="Calibri" w:eastAsia="Calibri" w:cs="Calibri"/>
          <w:b w:val="0"/>
          <w:bCs w:val="0"/>
          <w:noProof w:val="0"/>
          <w:sz w:val="22"/>
          <w:szCs w:val="22"/>
          <w:lang w:val="en-GB"/>
        </w:rPr>
        <w:t>different species</w:t>
      </w:r>
      <w:r w:rsidRPr="340ED24E" w:rsidR="678D1625">
        <w:rPr>
          <w:rFonts w:ascii="Calibri" w:hAnsi="Calibri" w:eastAsia="Calibri" w:cs="Calibri"/>
          <w:b w:val="0"/>
          <w:bCs w:val="0"/>
          <w:noProof w:val="0"/>
          <w:sz w:val="22"/>
          <w:szCs w:val="22"/>
          <w:lang w:val="en-GB"/>
        </w:rPr>
        <w:t xml:space="preserve"> of genealogy as complementary or in tension? After discussing some ways in which they might be thought complementary, I argue that there are significant tensions between these two types of genealogy.</w:t>
      </w:r>
    </w:p>
    <w:p w:rsidR="340ED24E" w:rsidP="340ED24E" w:rsidRDefault="340ED24E" w14:paraId="7EC858B1" w14:textId="2D41F446">
      <w:pPr>
        <w:pStyle w:val="Normal"/>
        <w:rPr>
          <w:rFonts w:ascii="Calibri" w:hAnsi="Calibri" w:eastAsia="Calibri" w:cs="Calibri"/>
          <w:b w:val="0"/>
          <w:bCs w:val="0"/>
          <w:noProof w:val="0"/>
          <w:sz w:val="22"/>
          <w:szCs w:val="22"/>
          <w:lang w:val="en-GB"/>
        </w:rPr>
      </w:pPr>
    </w:p>
    <w:p w:rsidR="340ED24E" w:rsidP="340ED24E" w:rsidRDefault="340ED24E" w14:paraId="5EE5D11E" w14:textId="60981061">
      <w:pPr>
        <w:pStyle w:val="Normal"/>
        <w:rPr>
          <w:rFonts w:ascii="Calibri" w:hAnsi="Calibri" w:eastAsia="Calibri" w:cs="Calibri"/>
          <w:b w:val="0"/>
          <w:bCs w:val="0"/>
          <w:noProof w:val="0"/>
          <w:sz w:val="22"/>
          <w:szCs w:val="22"/>
          <w:lang w:val="en-GB"/>
        </w:rPr>
      </w:pPr>
    </w:p>
    <w:p w:rsidR="340ED24E" w:rsidP="340ED24E" w:rsidRDefault="340ED24E" w14:paraId="75867787" w14:textId="50A41CB2">
      <w:pPr>
        <w:pStyle w:val="Normal"/>
        <w:rPr>
          <w:rFonts w:ascii="Calibri" w:hAnsi="Calibri" w:eastAsia="Calibri" w:cs="Calibri"/>
          <w:noProof w:val="0"/>
          <w:sz w:val="22"/>
          <w:szCs w:val="22"/>
          <w:lang w:val="en-GB"/>
        </w:rPr>
      </w:pPr>
    </w:p>
    <w:p w:rsidR="340ED24E" w:rsidP="340ED24E" w:rsidRDefault="340ED24E" w14:paraId="742260DB" w14:textId="747FBDBC">
      <w:pPr>
        <w:pStyle w:val="Normal"/>
        <w:rPr>
          <w:rFonts w:ascii="Calibri" w:hAnsi="Calibri" w:eastAsia="Calibri" w:cs="Calibri"/>
          <w:noProof w:val="0"/>
          <w:sz w:val="22"/>
          <w:szCs w:val="22"/>
          <w:lang w:val="en-GB"/>
        </w:rPr>
      </w:pPr>
    </w:p>
    <w:p w:rsidR="340ED24E" w:rsidP="340ED24E" w:rsidRDefault="340ED24E" w14:paraId="362F0462" w14:textId="6C9092E3">
      <w:pPr>
        <w:pStyle w:val="Normal"/>
        <w:rPr>
          <w:b w:val="1"/>
          <w:bCs w:val="1"/>
        </w:rPr>
      </w:pPr>
    </w:p>
    <w:p w:rsidR="340ED24E" w:rsidP="340ED24E" w:rsidRDefault="340ED24E" w14:paraId="0C710099" w14:textId="66B6D59A">
      <w:pPr>
        <w:pStyle w:val="Normal"/>
      </w:pPr>
    </w:p>
    <w:sectPr w:rsidR="00913D33" w:rsidSect="0093617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7A"/>
    <w:rsid w:val="00481C35"/>
    <w:rsid w:val="0077678C"/>
    <w:rsid w:val="00913D33"/>
    <w:rsid w:val="0093617A"/>
    <w:rsid w:val="00A63287"/>
    <w:rsid w:val="00CB1EAF"/>
    <w:rsid w:val="00E972EC"/>
    <w:rsid w:val="01119C82"/>
    <w:rsid w:val="0485AF35"/>
    <w:rsid w:val="0C5377B1"/>
    <w:rsid w:val="0C64CDCF"/>
    <w:rsid w:val="1326256F"/>
    <w:rsid w:val="157E5B1B"/>
    <w:rsid w:val="162919D4"/>
    <w:rsid w:val="17DB6147"/>
    <w:rsid w:val="17DB6147"/>
    <w:rsid w:val="1BA93D28"/>
    <w:rsid w:val="1D450D89"/>
    <w:rsid w:val="22DE2809"/>
    <w:rsid w:val="24EC7177"/>
    <w:rsid w:val="340ED24E"/>
    <w:rsid w:val="39515BB2"/>
    <w:rsid w:val="53E8FC58"/>
    <w:rsid w:val="54023A43"/>
    <w:rsid w:val="5E704A24"/>
    <w:rsid w:val="6652285D"/>
    <w:rsid w:val="678D1625"/>
    <w:rsid w:val="6A8449AD"/>
    <w:rsid w:val="6A8449AD"/>
    <w:rsid w:val="78003B0D"/>
    <w:rsid w:val="79220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3B84"/>
  <w15:chartTrackingRefBased/>
  <w15:docId w15:val="{479B7583-8422-40C0-A8E7-7001940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6425">
      <w:bodyDiv w:val="1"/>
      <w:marLeft w:val="0"/>
      <w:marRight w:val="0"/>
      <w:marTop w:val="0"/>
      <w:marBottom w:val="0"/>
      <w:divBdr>
        <w:top w:val="none" w:sz="0" w:space="0" w:color="auto"/>
        <w:left w:val="none" w:sz="0" w:space="0" w:color="auto"/>
        <w:bottom w:val="none" w:sz="0" w:space="0" w:color="auto"/>
        <w:right w:val="none" w:sz="0" w:space="0" w:color="auto"/>
      </w:divBdr>
      <w:divsChild>
        <w:div w:id="1993827697">
          <w:marLeft w:val="0"/>
          <w:marRight w:val="0"/>
          <w:marTop w:val="0"/>
          <w:marBottom w:val="0"/>
          <w:divBdr>
            <w:top w:val="none" w:sz="0" w:space="0" w:color="auto"/>
            <w:left w:val="none" w:sz="0" w:space="0" w:color="auto"/>
            <w:bottom w:val="none" w:sz="0" w:space="0" w:color="auto"/>
            <w:right w:val="none" w:sz="0" w:space="0" w:color="auto"/>
          </w:divBdr>
        </w:div>
      </w:divsChild>
    </w:div>
    <w:div w:id="961691682">
      <w:bodyDiv w:val="1"/>
      <w:marLeft w:val="0"/>
      <w:marRight w:val="0"/>
      <w:marTop w:val="0"/>
      <w:marBottom w:val="0"/>
      <w:divBdr>
        <w:top w:val="none" w:sz="0" w:space="0" w:color="auto"/>
        <w:left w:val="none" w:sz="0" w:space="0" w:color="auto"/>
        <w:bottom w:val="none" w:sz="0" w:space="0" w:color="auto"/>
        <w:right w:val="none" w:sz="0" w:space="0" w:color="auto"/>
      </w:divBdr>
      <w:divsChild>
        <w:div w:id="994530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60C2073635E44BA5D00BD44E7D278" ma:contentTypeVersion="19" ma:contentTypeDescription="Create a new document." ma:contentTypeScope="" ma:versionID="e13e70a483c3226d467b25e9c7986a1f">
  <xsd:schema xmlns:xsd="http://www.w3.org/2001/XMLSchema" xmlns:xs="http://www.w3.org/2001/XMLSchema" xmlns:p="http://schemas.microsoft.com/office/2006/metadata/properties" xmlns:ns2="a4c11f90-2d36-4a0f-98c2-ca889195d2be" xmlns:ns3="74e6e3f0-a6b3-4465-82b0-150dff769ab5" targetNamespace="http://schemas.microsoft.com/office/2006/metadata/properties" ma:root="true" ma:fieldsID="918a1b7b7cca45b52748385025edfaba" ns2:_="" ns3:_="">
    <xsd:import namespace="a4c11f90-2d36-4a0f-98c2-ca889195d2be"/>
    <xsd:import namespace="74e6e3f0-a6b3-4465-82b0-150dff769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f90-2d36-4a0f-98c2-ca889195d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6e3f0-a6b3-4465-82b0-150dff769a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d01e95-c2d8-474d-a11c-3d47219cb795}" ma:internalName="TaxCatchAll" ma:showField="CatchAllData" ma:web="74e6e3f0-a6b3-4465-82b0-150dff769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A5CC3-425A-47FF-BE5E-245C40EF80EF}"/>
</file>

<file path=customXml/itemProps2.xml><?xml version="1.0" encoding="utf-8"?>
<ds:datastoreItem xmlns:ds="http://schemas.openxmlformats.org/officeDocument/2006/customXml" ds:itemID="{D72C665C-ED84-4AFC-9CB3-080AAA8E5F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Sinclair (staff)</dc:creator>
  <keywords/>
  <dc:description/>
  <lastModifiedBy>Neil Sinclair (staff)</lastModifiedBy>
  <revision>5</revision>
  <dcterms:created xsi:type="dcterms:W3CDTF">2023-08-29T11:23:00.0000000Z</dcterms:created>
  <dcterms:modified xsi:type="dcterms:W3CDTF">2023-09-11T12:21:50.9068083Z</dcterms:modified>
</coreProperties>
</file>