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DBC76A4" w:rsidR="009B6256" w:rsidRPr="004C17A4" w:rsidRDefault="00CF217C" w:rsidP="00CF217C">
      <w:pPr>
        <w:spacing w:after="0" w:line="240" w:lineRule="auto"/>
        <w:rPr>
          <w:b/>
          <w:bCs/>
          <w:color w:val="215E99" w:themeColor="text2" w:themeTint="BF"/>
          <w:sz w:val="32"/>
          <w:szCs w:val="32"/>
        </w:rPr>
      </w:pPr>
      <w:r w:rsidRPr="004C17A4">
        <w:rPr>
          <w:b/>
          <w:bCs/>
          <w:color w:val="215E99" w:themeColor="text2" w:themeTint="BF"/>
          <w:sz w:val="32"/>
          <w:szCs w:val="32"/>
        </w:rPr>
        <w:t>Degree Apprenticeships Internal Quality Reviews</w:t>
      </w:r>
    </w:p>
    <w:p w14:paraId="4D6A08FD" w14:textId="55DE6E0F" w:rsidR="00CF217C" w:rsidRPr="004C17A4" w:rsidRDefault="007F3B37" w:rsidP="00CF217C">
      <w:pPr>
        <w:spacing w:after="0" w:line="240" w:lineRule="auto"/>
        <w:rPr>
          <w:b/>
          <w:bCs/>
          <w:color w:val="215E99" w:themeColor="text2" w:themeTint="BF"/>
          <w:sz w:val="32"/>
          <w:szCs w:val="32"/>
        </w:rPr>
      </w:pPr>
      <w:r w:rsidRPr="004C17A4">
        <w:rPr>
          <w:b/>
          <w:bCs/>
          <w:color w:val="215E99" w:themeColor="text2" w:themeTint="BF"/>
          <w:sz w:val="32"/>
          <w:szCs w:val="32"/>
        </w:rPr>
        <w:t>Process Document</w:t>
      </w:r>
    </w:p>
    <w:p w14:paraId="640A25B2" w14:textId="77777777" w:rsidR="007F3B37" w:rsidRDefault="007F3B37" w:rsidP="00CF217C">
      <w:pPr>
        <w:spacing w:after="0" w:line="240" w:lineRule="auto"/>
      </w:pPr>
    </w:p>
    <w:p w14:paraId="7F734A4F" w14:textId="05B20A2E" w:rsidR="007F3B37" w:rsidRPr="004C17A4" w:rsidRDefault="007F3B37" w:rsidP="007F3B37">
      <w:pPr>
        <w:pStyle w:val="ListParagraph"/>
        <w:numPr>
          <w:ilvl w:val="0"/>
          <w:numId w:val="1"/>
        </w:numPr>
        <w:spacing w:after="0" w:line="240" w:lineRule="auto"/>
        <w:ind w:left="284" w:hanging="284"/>
        <w:rPr>
          <w:b/>
          <w:bCs/>
          <w:color w:val="215E99" w:themeColor="text2" w:themeTint="BF"/>
        </w:rPr>
      </w:pPr>
      <w:r w:rsidRPr="004C17A4">
        <w:rPr>
          <w:b/>
          <w:bCs/>
          <w:color w:val="215E99" w:themeColor="text2" w:themeTint="BF"/>
        </w:rPr>
        <w:t>Introduction</w:t>
      </w:r>
    </w:p>
    <w:p w14:paraId="5ADC7EF1" w14:textId="77777777" w:rsidR="00151621" w:rsidRDefault="00151621" w:rsidP="00151621">
      <w:pPr>
        <w:spacing w:after="0" w:line="240" w:lineRule="auto"/>
      </w:pPr>
    </w:p>
    <w:p w14:paraId="382F11CB" w14:textId="30ADAB09" w:rsidR="00151621" w:rsidRDefault="00151621" w:rsidP="002540D5">
      <w:pPr>
        <w:pStyle w:val="ListParagraph"/>
        <w:numPr>
          <w:ilvl w:val="0"/>
          <w:numId w:val="4"/>
        </w:numPr>
        <w:spacing w:after="0" w:line="240" w:lineRule="auto"/>
        <w:ind w:left="426" w:hanging="142"/>
      </w:pPr>
      <w:r>
        <w:t xml:space="preserve">The Degree Apprenticeship Internal Quality Review (IQR) is </w:t>
      </w:r>
      <w:r w:rsidR="00CE73A7">
        <w:t xml:space="preserve">the UoN’s annual quality assurance and enhancement </w:t>
      </w:r>
      <w:r w:rsidR="00587FCB">
        <w:t xml:space="preserve">review process </w:t>
      </w:r>
      <w:r w:rsidR="00020F87">
        <w:t>of degree apprenticeship programmes.</w:t>
      </w:r>
    </w:p>
    <w:p w14:paraId="520D5842" w14:textId="77777777" w:rsidR="00E27DA0" w:rsidRDefault="00E27DA0" w:rsidP="002540D5">
      <w:pPr>
        <w:spacing w:after="0" w:line="240" w:lineRule="auto"/>
        <w:ind w:left="426" w:hanging="426"/>
      </w:pPr>
    </w:p>
    <w:p w14:paraId="3F8794C4" w14:textId="69E6F112" w:rsidR="00E27DA0" w:rsidRDefault="00FE15A7" w:rsidP="002540D5">
      <w:pPr>
        <w:pStyle w:val="ListParagraph"/>
        <w:numPr>
          <w:ilvl w:val="0"/>
          <w:numId w:val="4"/>
        </w:numPr>
        <w:spacing w:after="0" w:line="240" w:lineRule="auto"/>
        <w:ind w:left="426" w:hanging="142"/>
      </w:pPr>
      <w:r>
        <w:t>IQRs are a</w:t>
      </w:r>
      <w:r w:rsidR="009E6D6C">
        <w:t>n</w:t>
      </w:r>
      <w:r>
        <w:t xml:space="preserve"> </w:t>
      </w:r>
      <w:r w:rsidR="00BB52CD">
        <w:t xml:space="preserve">integral part of the </w:t>
      </w:r>
      <w:r w:rsidR="009852AE">
        <w:t>quality assurance and enhancement processes for degree apprenticeships</w:t>
      </w:r>
      <w:r w:rsidR="00BB102E">
        <w:t>, working together with the Self-Assessment Report (SAR) and Quality Improvement Plan</w:t>
      </w:r>
      <w:r w:rsidR="00C46BDD">
        <w:t xml:space="preserve"> (QIP), with each process informing the next in a cyclical manner.</w:t>
      </w:r>
    </w:p>
    <w:p w14:paraId="341EDF37" w14:textId="77777777" w:rsidR="00C46BDD" w:rsidRDefault="00C46BDD" w:rsidP="00151621">
      <w:pPr>
        <w:spacing w:after="0" w:line="240" w:lineRule="auto"/>
      </w:pPr>
    </w:p>
    <w:p w14:paraId="513C60E6" w14:textId="77777777" w:rsidR="00BB52CD" w:rsidRDefault="00BB52CD" w:rsidP="00151621">
      <w:pPr>
        <w:spacing w:after="0" w:line="240" w:lineRule="auto"/>
      </w:pPr>
    </w:p>
    <w:p w14:paraId="7E3A8E9C" w14:textId="64631692" w:rsidR="00BB52CD" w:rsidRDefault="00BB52CD" w:rsidP="00151621">
      <w:pPr>
        <w:spacing w:after="0" w:line="240" w:lineRule="auto"/>
      </w:pPr>
      <w:r>
        <w:rPr>
          <w:noProof/>
        </w:rPr>
        <w:drawing>
          <wp:inline distT="0" distB="0" distL="0" distR="0" wp14:anchorId="71553012" wp14:editId="4865D2CE">
            <wp:extent cx="5895975" cy="1905000"/>
            <wp:effectExtent l="0" t="0" r="0" b="0"/>
            <wp:docPr id="24203437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34371" name="Picture 1" descr="A diagram of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975" cy="1905000"/>
                    </a:xfrm>
                    <a:prstGeom prst="rect">
                      <a:avLst/>
                    </a:prstGeom>
                    <a:noFill/>
                    <a:ln>
                      <a:noFill/>
                    </a:ln>
                  </pic:spPr>
                </pic:pic>
              </a:graphicData>
            </a:graphic>
          </wp:inline>
        </w:drawing>
      </w:r>
    </w:p>
    <w:p w14:paraId="28905973" w14:textId="77777777" w:rsidR="00C46BDD" w:rsidRDefault="00C46BDD" w:rsidP="00151621">
      <w:pPr>
        <w:spacing w:after="0" w:line="240" w:lineRule="auto"/>
      </w:pPr>
    </w:p>
    <w:p w14:paraId="7C0FDA4F" w14:textId="3F77E0E1" w:rsidR="009E6D6C" w:rsidRPr="00464085" w:rsidRDefault="009E6D6C" w:rsidP="00464085">
      <w:pPr>
        <w:pStyle w:val="ListParagraph"/>
        <w:numPr>
          <w:ilvl w:val="0"/>
          <w:numId w:val="4"/>
        </w:numPr>
        <w:spacing w:after="0" w:line="240" w:lineRule="auto"/>
        <w:ind w:left="426" w:hanging="142"/>
        <w:rPr>
          <w:lang w:val="en-GB"/>
        </w:rPr>
      </w:pPr>
      <w:r w:rsidRPr="009E6D6C">
        <w:t>The IQR should be</w:t>
      </w:r>
      <w:r w:rsidR="00271DDF">
        <w:t xml:space="preserve"> seen as</w:t>
      </w:r>
      <w:r w:rsidRPr="009E6D6C">
        <w:t xml:space="preserve"> a supportive process, focusing on enhancement to ensure quality assurance compliance as well as encouraging continuous improvement</w:t>
      </w:r>
      <w:r w:rsidR="00B21D99" w:rsidRPr="009E6D6C">
        <w:t xml:space="preserve">. </w:t>
      </w:r>
      <w:r w:rsidR="000F57DC">
        <w:t>In addition to</w:t>
      </w:r>
      <w:r w:rsidRPr="009E6D6C">
        <w:t xml:space="preserve"> highlighting areas of good practice and positive achievements, using the IQR reports as a method of dissemination of these, areas requiring </w:t>
      </w:r>
      <w:r w:rsidR="00196FBB">
        <w:t>development</w:t>
      </w:r>
      <w:r w:rsidRPr="009E6D6C">
        <w:t xml:space="preserve"> can be identified, discussed and avenues of support provided.</w:t>
      </w:r>
      <w:r w:rsidRPr="00464085">
        <w:rPr>
          <w:lang w:val="en-GB"/>
        </w:rPr>
        <w:t> </w:t>
      </w:r>
    </w:p>
    <w:p w14:paraId="07371006" w14:textId="77777777" w:rsidR="009E6D6C" w:rsidRPr="009E6D6C" w:rsidRDefault="009E6D6C" w:rsidP="00464085">
      <w:pPr>
        <w:spacing w:after="0" w:line="240" w:lineRule="auto"/>
        <w:ind w:left="426" w:hanging="142"/>
        <w:rPr>
          <w:lang w:val="en-GB"/>
        </w:rPr>
      </w:pPr>
      <w:r w:rsidRPr="009E6D6C">
        <w:rPr>
          <w:lang w:val="en-GB"/>
        </w:rPr>
        <w:t> </w:t>
      </w:r>
    </w:p>
    <w:p w14:paraId="666E6B74" w14:textId="1C3ADD86" w:rsidR="009E6D6C" w:rsidRPr="00464085" w:rsidRDefault="009E6D6C" w:rsidP="00464085">
      <w:pPr>
        <w:pStyle w:val="ListParagraph"/>
        <w:numPr>
          <w:ilvl w:val="0"/>
          <w:numId w:val="4"/>
        </w:numPr>
        <w:spacing w:after="0" w:line="240" w:lineRule="auto"/>
        <w:ind w:left="426" w:hanging="142"/>
        <w:rPr>
          <w:lang w:val="en-GB"/>
        </w:rPr>
      </w:pPr>
      <w:r w:rsidRPr="009E6D6C">
        <w:t xml:space="preserve">The process </w:t>
      </w:r>
      <w:r w:rsidR="00072A89">
        <w:t>is designed to</w:t>
      </w:r>
      <w:r w:rsidRPr="009E6D6C">
        <w:t xml:space="preserve"> be collaborative, with elements of the agenda being agreed between the Chair and Programme Lead to ensure areas of importance to the programme are not overlooked.</w:t>
      </w:r>
      <w:r w:rsidRPr="00464085">
        <w:rPr>
          <w:lang w:val="en-GB"/>
        </w:rPr>
        <w:t> </w:t>
      </w:r>
    </w:p>
    <w:p w14:paraId="3B3E6379" w14:textId="77777777" w:rsidR="00C46BDD" w:rsidRDefault="00C46BDD" w:rsidP="00464085">
      <w:pPr>
        <w:spacing w:after="0" w:line="240" w:lineRule="auto"/>
        <w:ind w:left="426" w:hanging="142"/>
      </w:pPr>
    </w:p>
    <w:p w14:paraId="09FEEB1C" w14:textId="30715B2E" w:rsidR="00CE4445" w:rsidRDefault="002D7F45" w:rsidP="00464085">
      <w:pPr>
        <w:pStyle w:val="ListParagraph"/>
        <w:numPr>
          <w:ilvl w:val="0"/>
          <w:numId w:val="4"/>
        </w:numPr>
        <w:spacing w:after="0" w:line="240" w:lineRule="auto"/>
        <w:ind w:left="426" w:hanging="142"/>
      </w:pPr>
      <w:r w:rsidRPr="002D7F45">
        <w:t xml:space="preserve">The focus </w:t>
      </w:r>
      <w:r w:rsidR="002E7414">
        <w:t xml:space="preserve">of the IQR </w:t>
      </w:r>
      <w:r w:rsidRPr="002D7F45">
        <w:t>should be on assurance and enhancement of the education and student experience</w:t>
      </w:r>
      <w:r w:rsidR="00563936">
        <w:t xml:space="preserve"> of apprentices</w:t>
      </w:r>
      <w:r w:rsidR="00B21D99" w:rsidRPr="002D7F45">
        <w:t xml:space="preserve">. </w:t>
      </w:r>
    </w:p>
    <w:p w14:paraId="5595D2D6" w14:textId="77777777" w:rsidR="00CE4445" w:rsidRDefault="00CE4445" w:rsidP="00151621">
      <w:pPr>
        <w:spacing w:after="0" w:line="240" w:lineRule="auto"/>
      </w:pPr>
    </w:p>
    <w:p w14:paraId="2286A0DB" w14:textId="68554790" w:rsidR="00CE4445" w:rsidRPr="004C17A4" w:rsidRDefault="005F1125" w:rsidP="00CE4445">
      <w:pPr>
        <w:pStyle w:val="ListParagraph"/>
        <w:numPr>
          <w:ilvl w:val="0"/>
          <w:numId w:val="1"/>
        </w:numPr>
        <w:spacing w:after="0" w:line="240" w:lineRule="auto"/>
        <w:ind w:left="284" w:hanging="284"/>
        <w:rPr>
          <w:b/>
          <w:bCs/>
          <w:color w:val="215E99" w:themeColor="text2" w:themeTint="BF"/>
        </w:rPr>
      </w:pPr>
      <w:r w:rsidRPr="004C17A4">
        <w:rPr>
          <w:b/>
          <w:bCs/>
          <w:color w:val="215E99" w:themeColor="text2" w:themeTint="BF"/>
        </w:rPr>
        <w:t>Relationships with regulatory compliance</w:t>
      </w:r>
    </w:p>
    <w:p w14:paraId="6D7ED0DF" w14:textId="77777777" w:rsidR="005F1125" w:rsidRDefault="005F1125" w:rsidP="005F1125">
      <w:pPr>
        <w:spacing w:after="0" w:line="240" w:lineRule="auto"/>
      </w:pPr>
    </w:p>
    <w:p w14:paraId="773342DF" w14:textId="460EE6E3" w:rsidR="00D215A0" w:rsidRDefault="00031474" w:rsidP="00D17A6B">
      <w:pPr>
        <w:pStyle w:val="ListParagraph"/>
        <w:numPr>
          <w:ilvl w:val="0"/>
          <w:numId w:val="6"/>
        </w:numPr>
        <w:spacing w:after="0" w:line="240" w:lineRule="auto"/>
        <w:ind w:left="426" w:hanging="142"/>
      </w:pPr>
      <w:r>
        <w:t>T</w:t>
      </w:r>
      <w:r w:rsidR="00464E63">
        <w:t>he</w:t>
      </w:r>
      <w:r w:rsidR="00D215A0">
        <w:t xml:space="preserve"> IQR should not be </w:t>
      </w:r>
      <w:r w:rsidR="00464E63">
        <w:t>considered a</w:t>
      </w:r>
      <w:r w:rsidR="00D215A0">
        <w:t xml:space="preserve">s a ‘mock’ OFSTED </w:t>
      </w:r>
      <w:r w:rsidR="00CE4445">
        <w:t xml:space="preserve">review </w:t>
      </w:r>
      <w:r w:rsidR="00D215A0">
        <w:t>or as preparation training for an OFSTED visit</w:t>
      </w:r>
      <w:r w:rsidR="00B21D99">
        <w:t xml:space="preserve">. </w:t>
      </w:r>
      <w:r w:rsidR="00CD6278">
        <w:t xml:space="preserve">Similarly, elements of the IQR relating to End Point </w:t>
      </w:r>
      <w:r w:rsidR="00CD6278">
        <w:lastRenderedPageBreak/>
        <w:t xml:space="preserve">Assessments (EPA) should </w:t>
      </w:r>
      <w:r w:rsidR="000301B6">
        <w:t>not be considered as preparation for Office for Students (OfS) EPA Moni</w:t>
      </w:r>
      <w:r w:rsidR="000762BE">
        <w:t>toring visits.</w:t>
      </w:r>
    </w:p>
    <w:p w14:paraId="0E8F457E" w14:textId="77777777" w:rsidR="002540D5" w:rsidRDefault="002540D5" w:rsidP="00D17A6B">
      <w:pPr>
        <w:spacing w:after="0" w:line="240" w:lineRule="auto"/>
        <w:ind w:left="426" w:hanging="142"/>
      </w:pPr>
    </w:p>
    <w:p w14:paraId="688136A9" w14:textId="3DEF0A00" w:rsidR="005E1A4C" w:rsidRDefault="001764A3" w:rsidP="00D17A6B">
      <w:pPr>
        <w:pStyle w:val="ListParagraph"/>
        <w:numPr>
          <w:ilvl w:val="0"/>
          <w:numId w:val="6"/>
        </w:numPr>
        <w:spacing w:after="0" w:line="240" w:lineRule="auto"/>
        <w:ind w:left="426" w:hanging="142"/>
      </w:pPr>
      <w:r>
        <w:t xml:space="preserve">The IQR provides an opportunity for a holistic </w:t>
      </w:r>
      <w:r w:rsidR="00FA48D2">
        <w:t>re</w:t>
      </w:r>
      <w:r>
        <w:t>view of the design</w:t>
      </w:r>
      <w:r w:rsidR="00FA48D2">
        <w:t xml:space="preserve">, </w:t>
      </w:r>
      <w:r w:rsidR="00B21D99">
        <w:t>implementation,</w:t>
      </w:r>
      <w:r w:rsidR="00FA48D2">
        <w:t xml:space="preserve"> </w:t>
      </w:r>
      <w:r w:rsidR="000A457F">
        <w:t>and delivery of the degree apprenticeship programme</w:t>
      </w:r>
      <w:r w:rsidR="00B21D99">
        <w:t xml:space="preserve">. </w:t>
      </w:r>
      <w:r w:rsidR="007731E3">
        <w:t xml:space="preserve">However, </w:t>
      </w:r>
      <w:r w:rsidR="00D85F58">
        <w:t xml:space="preserve">considerations of regulatory compliance are embedded </w:t>
      </w:r>
      <w:r w:rsidR="00153250">
        <w:t>in the process through:</w:t>
      </w:r>
    </w:p>
    <w:p w14:paraId="5FFD8910" w14:textId="77777777" w:rsidR="00153250" w:rsidRDefault="00153250" w:rsidP="00151621">
      <w:pPr>
        <w:spacing w:after="0" w:line="240" w:lineRule="auto"/>
      </w:pPr>
    </w:p>
    <w:p w14:paraId="03496782" w14:textId="77777777" w:rsidR="00443099" w:rsidRDefault="00443099" w:rsidP="00D17A6B">
      <w:pPr>
        <w:pStyle w:val="ListParagraph"/>
        <w:numPr>
          <w:ilvl w:val="0"/>
          <w:numId w:val="2"/>
        </w:numPr>
        <w:spacing w:after="0" w:line="240" w:lineRule="auto"/>
        <w:ind w:left="709" w:hanging="283"/>
      </w:pPr>
      <w:r>
        <w:t xml:space="preserve">Review of the </w:t>
      </w:r>
      <w:r w:rsidR="00E87113">
        <w:t xml:space="preserve">annual SAR, the process and template of which are aligned </w:t>
      </w:r>
      <w:r w:rsidR="00F06C9B">
        <w:t xml:space="preserve">with the </w:t>
      </w:r>
      <w:r w:rsidR="002D7F45" w:rsidRPr="002D7F45">
        <w:t>OFSTED Education Inspection Framework</w:t>
      </w:r>
    </w:p>
    <w:p w14:paraId="17A9CC86" w14:textId="67360D81" w:rsidR="0074509B" w:rsidRDefault="00443099" w:rsidP="00D17A6B">
      <w:pPr>
        <w:pStyle w:val="ListParagraph"/>
        <w:numPr>
          <w:ilvl w:val="0"/>
          <w:numId w:val="2"/>
        </w:numPr>
        <w:spacing w:after="0" w:line="240" w:lineRule="auto"/>
        <w:ind w:left="709" w:hanging="283"/>
      </w:pPr>
      <w:r>
        <w:t>EPA preparation discussions</w:t>
      </w:r>
      <w:r w:rsidR="00727911">
        <w:t xml:space="preserve">, informed by the </w:t>
      </w:r>
      <w:r w:rsidR="00297DDD" w:rsidRPr="00297DDD">
        <w:t>Institute for Apprenticeships and Technical Education</w:t>
      </w:r>
      <w:r w:rsidR="00297DDD">
        <w:t xml:space="preserve"> (IfATE)</w:t>
      </w:r>
      <w:r w:rsidR="00D56809">
        <w:t xml:space="preserve"> </w:t>
      </w:r>
      <w:r w:rsidR="00D1046B">
        <w:t xml:space="preserve">external quality </w:t>
      </w:r>
      <w:r w:rsidR="005B595F">
        <w:t xml:space="preserve">assurance </w:t>
      </w:r>
      <w:r w:rsidR="00F449DA">
        <w:t>framework.</w:t>
      </w:r>
    </w:p>
    <w:p w14:paraId="3A20785D" w14:textId="77777777" w:rsidR="00BB4513" w:rsidRDefault="00BB4513" w:rsidP="00BB4513">
      <w:pPr>
        <w:spacing w:after="0" w:line="240" w:lineRule="auto"/>
      </w:pPr>
    </w:p>
    <w:p w14:paraId="353B002F" w14:textId="267F1A41" w:rsidR="00BB4513" w:rsidRPr="004C17A4" w:rsidRDefault="00725E25" w:rsidP="00725E25">
      <w:pPr>
        <w:pStyle w:val="ListParagraph"/>
        <w:numPr>
          <w:ilvl w:val="0"/>
          <w:numId w:val="1"/>
        </w:numPr>
        <w:spacing w:after="0" w:line="240" w:lineRule="auto"/>
        <w:ind w:left="284" w:hanging="284"/>
        <w:rPr>
          <w:b/>
          <w:bCs/>
          <w:color w:val="215E99" w:themeColor="text2" w:themeTint="BF"/>
        </w:rPr>
      </w:pPr>
      <w:r w:rsidRPr="004C17A4">
        <w:rPr>
          <w:b/>
          <w:bCs/>
          <w:color w:val="215E99" w:themeColor="text2" w:themeTint="BF"/>
        </w:rPr>
        <w:t>Scope</w:t>
      </w:r>
    </w:p>
    <w:p w14:paraId="414A895E" w14:textId="77777777" w:rsidR="00725E25" w:rsidRDefault="00725E25" w:rsidP="00725E25">
      <w:pPr>
        <w:spacing w:after="0" w:line="240" w:lineRule="auto"/>
      </w:pPr>
    </w:p>
    <w:p w14:paraId="4DB8C6AE" w14:textId="79CCCFB8" w:rsidR="00725E25" w:rsidRDefault="00725E25" w:rsidP="00D17A6B">
      <w:pPr>
        <w:pStyle w:val="ListParagraph"/>
        <w:numPr>
          <w:ilvl w:val="0"/>
          <w:numId w:val="7"/>
        </w:numPr>
        <w:spacing w:after="0" w:line="240" w:lineRule="auto"/>
        <w:ind w:left="426" w:hanging="142"/>
      </w:pPr>
      <w:r>
        <w:t>All recruiting</w:t>
      </w:r>
      <w:r w:rsidR="0084092A">
        <w:t xml:space="preserve"> degree apprenticeship programmes will undertake an IQR</w:t>
      </w:r>
      <w:r w:rsidR="00EF7CF9">
        <w:t xml:space="preserve">, commencing in the year following </w:t>
      </w:r>
      <w:r w:rsidR="00645AB7">
        <w:t>the first full year of delivery.</w:t>
      </w:r>
    </w:p>
    <w:p w14:paraId="07814B89" w14:textId="77777777" w:rsidR="00645AB7" w:rsidRDefault="00645AB7" w:rsidP="00D17A6B">
      <w:pPr>
        <w:spacing w:after="0" w:line="240" w:lineRule="auto"/>
        <w:ind w:left="426" w:hanging="142"/>
      </w:pPr>
    </w:p>
    <w:p w14:paraId="35517797" w14:textId="0D9529E1" w:rsidR="00645AB7" w:rsidRDefault="00645AB7" w:rsidP="00D17A6B">
      <w:pPr>
        <w:pStyle w:val="ListParagraph"/>
        <w:numPr>
          <w:ilvl w:val="0"/>
          <w:numId w:val="7"/>
        </w:numPr>
        <w:spacing w:after="0" w:line="240" w:lineRule="auto"/>
        <w:ind w:left="426" w:hanging="142"/>
      </w:pPr>
      <w:r>
        <w:t xml:space="preserve">Teaching out degree apprenticeships programmes will </w:t>
      </w:r>
      <w:r w:rsidR="00A26194">
        <w:t xml:space="preserve">continue to undertake an IQR until </w:t>
      </w:r>
      <w:r w:rsidR="00EE1412">
        <w:t>all apprentices have completed the taught element of the programme.</w:t>
      </w:r>
    </w:p>
    <w:p w14:paraId="6F8030FF" w14:textId="77777777" w:rsidR="00EB4202" w:rsidRDefault="00EB4202" w:rsidP="00EB4202">
      <w:pPr>
        <w:pStyle w:val="ListParagraph"/>
      </w:pPr>
    </w:p>
    <w:p w14:paraId="42591B7C" w14:textId="3B12A217" w:rsidR="00EB4202" w:rsidRDefault="00126815" w:rsidP="00D17A6B">
      <w:pPr>
        <w:pStyle w:val="ListParagraph"/>
        <w:numPr>
          <w:ilvl w:val="0"/>
          <w:numId w:val="7"/>
        </w:numPr>
        <w:spacing w:after="0" w:line="240" w:lineRule="auto"/>
        <w:ind w:left="426" w:hanging="142"/>
      </w:pPr>
      <w:r>
        <w:t xml:space="preserve">Subcontracted delivery partners </w:t>
      </w:r>
      <w:r w:rsidR="00E17DF8">
        <w:t>where applicable.</w:t>
      </w:r>
    </w:p>
    <w:p w14:paraId="3DDD2F2C" w14:textId="77777777" w:rsidR="00EE1412" w:rsidRDefault="00EE1412" w:rsidP="00725E25">
      <w:pPr>
        <w:spacing w:after="0" w:line="240" w:lineRule="auto"/>
      </w:pPr>
    </w:p>
    <w:p w14:paraId="42AD2C58" w14:textId="1AB8D8BF" w:rsidR="00EE1412" w:rsidRPr="004C17A4" w:rsidRDefault="006E73E4" w:rsidP="00D56E73">
      <w:pPr>
        <w:pStyle w:val="ListParagraph"/>
        <w:numPr>
          <w:ilvl w:val="0"/>
          <w:numId w:val="1"/>
        </w:numPr>
        <w:spacing w:after="0" w:line="240" w:lineRule="auto"/>
        <w:ind w:left="284" w:hanging="284"/>
        <w:rPr>
          <w:b/>
          <w:bCs/>
          <w:color w:val="215E99" w:themeColor="text2" w:themeTint="BF"/>
        </w:rPr>
      </w:pPr>
      <w:r w:rsidRPr="004C17A4">
        <w:rPr>
          <w:b/>
          <w:bCs/>
          <w:color w:val="215E99" w:themeColor="text2" w:themeTint="BF"/>
        </w:rPr>
        <w:t>Scheduling</w:t>
      </w:r>
    </w:p>
    <w:p w14:paraId="0D504B37" w14:textId="77777777" w:rsidR="00D56E73" w:rsidRDefault="00D56E73" w:rsidP="00D56E73">
      <w:pPr>
        <w:spacing w:after="0" w:line="240" w:lineRule="auto"/>
      </w:pPr>
    </w:p>
    <w:p w14:paraId="7D6D5C77" w14:textId="4D61E4E2" w:rsidR="00D56E73" w:rsidRDefault="00A3764B" w:rsidP="00AF08C0">
      <w:pPr>
        <w:pStyle w:val="ListParagraph"/>
        <w:numPr>
          <w:ilvl w:val="0"/>
          <w:numId w:val="8"/>
        </w:numPr>
        <w:spacing w:after="0" w:line="240" w:lineRule="auto"/>
        <w:ind w:left="426" w:hanging="142"/>
      </w:pPr>
      <w:r>
        <w:t xml:space="preserve">The IQR process is designed to be a one-day, in-person event hosted </w:t>
      </w:r>
      <w:r w:rsidR="005F4A45">
        <w:t xml:space="preserve">within the delivering </w:t>
      </w:r>
      <w:r w:rsidR="70255818">
        <w:t xml:space="preserve">location </w:t>
      </w:r>
      <w:r w:rsidR="005F4A45">
        <w:t>of the degree apprenticeship programme</w:t>
      </w:r>
      <w:r w:rsidR="00B21D99">
        <w:t xml:space="preserve">. </w:t>
      </w:r>
      <w:r w:rsidR="0088043C">
        <w:t xml:space="preserve">Within this, </w:t>
      </w:r>
      <w:r w:rsidR="004A1835">
        <w:t>sessions</w:t>
      </w:r>
      <w:r w:rsidR="0088043C">
        <w:t xml:space="preserve"> (</w:t>
      </w:r>
      <w:r w:rsidR="00B21D99">
        <w:t>e.g.,</w:t>
      </w:r>
      <w:r w:rsidR="0088043C">
        <w:t xml:space="preserve"> with apprentices) </w:t>
      </w:r>
      <w:r w:rsidR="00FC0AC7">
        <w:t>can be hosted online.</w:t>
      </w:r>
    </w:p>
    <w:p w14:paraId="77146A26" w14:textId="77777777" w:rsidR="0074509B" w:rsidRDefault="0074509B" w:rsidP="00AF08C0">
      <w:pPr>
        <w:spacing w:after="0" w:line="240" w:lineRule="auto"/>
        <w:ind w:left="426" w:hanging="142"/>
      </w:pPr>
    </w:p>
    <w:p w14:paraId="766841A7" w14:textId="443A53F2" w:rsidR="00341410" w:rsidRDefault="00341410" w:rsidP="00AF08C0">
      <w:pPr>
        <w:pStyle w:val="ListParagraph"/>
        <w:numPr>
          <w:ilvl w:val="0"/>
          <w:numId w:val="8"/>
        </w:numPr>
        <w:spacing w:after="0" w:line="240" w:lineRule="auto"/>
        <w:ind w:left="426" w:hanging="142"/>
      </w:pPr>
      <w:r>
        <w:t xml:space="preserve">IQRs across the degree apprenticeship provision </w:t>
      </w:r>
      <w:r w:rsidR="00CD4A3A">
        <w:t>w</w:t>
      </w:r>
      <w:r>
        <w:t xml:space="preserve">ill take place </w:t>
      </w:r>
      <w:r w:rsidR="00030F94">
        <w:t>in the January to March period each academic year</w:t>
      </w:r>
      <w:r w:rsidR="00CD4A3A">
        <w:t>, aligning with the SAR and QIP processes.</w:t>
      </w:r>
    </w:p>
    <w:p w14:paraId="3D33B6C3" w14:textId="77777777" w:rsidR="00CB34EC" w:rsidRDefault="00CB34EC" w:rsidP="00AF08C0">
      <w:pPr>
        <w:spacing w:after="0" w:line="240" w:lineRule="auto"/>
        <w:ind w:left="426" w:hanging="142"/>
      </w:pPr>
    </w:p>
    <w:p w14:paraId="3C446C95" w14:textId="2D3D58CF" w:rsidR="00CB34EC" w:rsidRDefault="00CB34EC" w:rsidP="00AF08C0">
      <w:pPr>
        <w:pStyle w:val="ListParagraph"/>
        <w:numPr>
          <w:ilvl w:val="0"/>
          <w:numId w:val="8"/>
        </w:numPr>
        <w:spacing w:after="0" w:line="240" w:lineRule="auto"/>
        <w:ind w:left="426" w:hanging="142"/>
      </w:pPr>
      <w:r>
        <w:t>Education</w:t>
      </w:r>
      <w:r w:rsidR="00E36A9F">
        <w:t>al</w:t>
      </w:r>
      <w:r>
        <w:t xml:space="preserve"> Excellence will con</w:t>
      </w:r>
      <w:r w:rsidR="00763394">
        <w:t xml:space="preserve">tact </w:t>
      </w:r>
      <w:r w:rsidR="00EA1A26">
        <w:t xml:space="preserve">Programme Directors and Senior Degree Apprenticeship Managers </w:t>
      </w:r>
      <w:r w:rsidR="0034116B">
        <w:t xml:space="preserve">during the preceding </w:t>
      </w:r>
      <w:r w:rsidR="00D679B5">
        <w:t>autumn term</w:t>
      </w:r>
      <w:r w:rsidR="0034116B">
        <w:t xml:space="preserve"> to schedule the IQR</w:t>
      </w:r>
      <w:r w:rsidR="00C35971">
        <w:t>, with consideration given to local needs in terms of staff/</w:t>
      </w:r>
      <w:r w:rsidR="007661C8">
        <w:t>apprentices’</w:t>
      </w:r>
      <w:r w:rsidR="00C35971">
        <w:t xml:space="preserve"> availability, assessments, workload, etc.</w:t>
      </w:r>
    </w:p>
    <w:p w14:paraId="43E3E295" w14:textId="77777777" w:rsidR="005F5240" w:rsidRDefault="005F5240" w:rsidP="00AF08C0">
      <w:pPr>
        <w:spacing w:after="0" w:line="240" w:lineRule="auto"/>
        <w:ind w:left="426" w:hanging="142"/>
      </w:pPr>
    </w:p>
    <w:p w14:paraId="571221EC" w14:textId="1BCA9874" w:rsidR="005F5240" w:rsidRDefault="005F5240" w:rsidP="00AF08C0">
      <w:pPr>
        <w:pStyle w:val="ListParagraph"/>
        <w:numPr>
          <w:ilvl w:val="0"/>
          <w:numId w:val="8"/>
        </w:numPr>
        <w:spacing w:after="0" w:line="240" w:lineRule="auto"/>
        <w:ind w:left="426" w:hanging="142"/>
      </w:pPr>
      <w:r>
        <w:t xml:space="preserve">Educational </w:t>
      </w:r>
      <w:r w:rsidR="00AD634B">
        <w:t xml:space="preserve">Excellence will co-ordinate </w:t>
      </w:r>
      <w:r w:rsidR="00F81087">
        <w:t>the Chair and panel members</w:t>
      </w:r>
      <w:r w:rsidR="00FC1A9A">
        <w:t>.</w:t>
      </w:r>
    </w:p>
    <w:p w14:paraId="51581755" w14:textId="77777777" w:rsidR="00F81087" w:rsidRDefault="00F81087" w:rsidP="00AF08C0">
      <w:pPr>
        <w:spacing w:after="0" w:line="240" w:lineRule="auto"/>
        <w:ind w:left="426" w:hanging="142"/>
      </w:pPr>
    </w:p>
    <w:p w14:paraId="5360A909" w14:textId="06A5AD69" w:rsidR="00F81087" w:rsidRDefault="00F81087" w:rsidP="00AF08C0">
      <w:pPr>
        <w:pStyle w:val="ListParagraph"/>
        <w:numPr>
          <w:ilvl w:val="0"/>
          <w:numId w:val="8"/>
        </w:numPr>
        <w:spacing w:after="0" w:line="240" w:lineRule="auto"/>
        <w:ind w:left="426" w:hanging="142"/>
      </w:pPr>
      <w:r>
        <w:t xml:space="preserve">Senior Degree Apprenticeship Managers will co-ordinate </w:t>
      </w:r>
      <w:r w:rsidR="00FC1A9A">
        <w:t>the staff and apprentices</w:t>
      </w:r>
      <w:r w:rsidR="00E17DF8">
        <w:t xml:space="preserve">, and </w:t>
      </w:r>
      <w:r w:rsidR="003D0E26">
        <w:t>(</w:t>
      </w:r>
      <w:r w:rsidR="00E17DF8">
        <w:t>where applicable</w:t>
      </w:r>
      <w:r w:rsidR="003D0E26">
        <w:t>)</w:t>
      </w:r>
      <w:r w:rsidR="00E17DF8">
        <w:t xml:space="preserve"> subc</w:t>
      </w:r>
      <w:r w:rsidR="007A752B">
        <w:t>ontracted delivery partners,</w:t>
      </w:r>
      <w:r w:rsidR="00FC1A9A">
        <w:t xml:space="preserve"> to meet with the panel.</w:t>
      </w:r>
    </w:p>
    <w:p w14:paraId="637460B6" w14:textId="77777777" w:rsidR="00AF08C0" w:rsidRDefault="00AF08C0" w:rsidP="00151621">
      <w:pPr>
        <w:spacing w:after="0" w:line="240" w:lineRule="auto"/>
      </w:pPr>
    </w:p>
    <w:p w14:paraId="09B07A5C" w14:textId="77777777" w:rsidR="005117BD" w:rsidRDefault="005117BD" w:rsidP="00151621">
      <w:pPr>
        <w:spacing w:after="0" w:line="240" w:lineRule="auto"/>
      </w:pPr>
    </w:p>
    <w:p w14:paraId="3B455A44" w14:textId="77777777" w:rsidR="007A752B" w:rsidRDefault="007A752B" w:rsidP="00151621">
      <w:pPr>
        <w:spacing w:after="0" w:line="240" w:lineRule="auto"/>
      </w:pPr>
    </w:p>
    <w:p w14:paraId="138C12E8" w14:textId="7BDAB320" w:rsidR="00AF08C0" w:rsidRPr="004C17A4" w:rsidRDefault="00E32A4B" w:rsidP="00AF08C0">
      <w:pPr>
        <w:pStyle w:val="ListParagraph"/>
        <w:numPr>
          <w:ilvl w:val="0"/>
          <w:numId w:val="1"/>
        </w:numPr>
        <w:spacing w:after="0" w:line="240" w:lineRule="auto"/>
        <w:ind w:left="284" w:hanging="284"/>
        <w:rPr>
          <w:b/>
          <w:bCs/>
          <w:color w:val="215E99" w:themeColor="text2" w:themeTint="BF"/>
        </w:rPr>
      </w:pPr>
      <w:r w:rsidRPr="004C17A4">
        <w:rPr>
          <w:b/>
          <w:bCs/>
          <w:color w:val="215E99" w:themeColor="text2" w:themeTint="BF"/>
        </w:rPr>
        <w:lastRenderedPageBreak/>
        <w:t>IQR Panel</w:t>
      </w:r>
    </w:p>
    <w:p w14:paraId="5740F9B9" w14:textId="77777777" w:rsidR="00E32A4B" w:rsidRDefault="00E32A4B" w:rsidP="00E32A4B">
      <w:pPr>
        <w:spacing w:after="0" w:line="240" w:lineRule="auto"/>
      </w:pPr>
    </w:p>
    <w:p w14:paraId="25E622D8" w14:textId="44811B66" w:rsidR="00E32A4B" w:rsidRDefault="00FE72AD" w:rsidP="000326E3">
      <w:pPr>
        <w:pStyle w:val="ListParagraph"/>
        <w:numPr>
          <w:ilvl w:val="0"/>
          <w:numId w:val="10"/>
        </w:numPr>
        <w:spacing w:after="0" w:line="240" w:lineRule="auto"/>
        <w:ind w:left="426" w:hanging="142"/>
      </w:pPr>
      <w:r>
        <w:t>The panel will consist of:</w:t>
      </w:r>
    </w:p>
    <w:p w14:paraId="2C007B46" w14:textId="77777777" w:rsidR="00FE72AD" w:rsidRDefault="00FE72AD" w:rsidP="00E32A4B">
      <w:pPr>
        <w:spacing w:after="0" w:line="240" w:lineRule="auto"/>
      </w:pPr>
    </w:p>
    <w:p w14:paraId="11054C48" w14:textId="783E75C6" w:rsidR="00FE72AD" w:rsidRDefault="001C38BC" w:rsidP="000326E3">
      <w:pPr>
        <w:pStyle w:val="ListParagraph"/>
        <w:numPr>
          <w:ilvl w:val="0"/>
          <w:numId w:val="9"/>
        </w:numPr>
        <w:spacing w:after="0" w:line="240" w:lineRule="auto"/>
        <w:ind w:left="709" w:hanging="283"/>
      </w:pPr>
      <w:r>
        <w:t>Chair</w:t>
      </w:r>
    </w:p>
    <w:p w14:paraId="7A1879D8" w14:textId="06BC15DD" w:rsidR="00757505" w:rsidRDefault="00757505" w:rsidP="000326E3">
      <w:pPr>
        <w:pStyle w:val="ListParagraph"/>
        <w:numPr>
          <w:ilvl w:val="1"/>
          <w:numId w:val="9"/>
        </w:numPr>
        <w:spacing w:after="0" w:line="240" w:lineRule="auto"/>
        <w:ind w:left="993" w:hanging="284"/>
      </w:pPr>
      <w:r>
        <w:t>Faculty Apprenticeship Director (from another faculty)</w:t>
      </w:r>
    </w:p>
    <w:p w14:paraId="1C0D0B23" w14:textId="2A2E1AE3" w:rsidR="00757505" w:rsidRDefault="00757505" w:rsidP="000326E3">
      <w:pPr>
        <w:pStyle w:val="ListParagraph"/>
        <w:numPr>
          <w:ilvl w:val="0"/>
          <w:numId w:val="9"/>
        </w:numPr>
        <w:spacing w:after="0" w:line="240" w:lineRule="auto"/>
        <w:ind w:hanging="294"/>
      </w:pPr>
      <w:r>
        <w:t>Members</w:t>
      </w:r>
    </w:p>
    <w:p w14:paraId="16D4A218" w14:textId="72C8FE5D" w:rsidR="00757505" w:rsidRDefault="00A96AA6" w:rsidP="000326E3">
      <w:pPr>
        <w:pStyle w:val="ListParagraph"/>
        <w:numPr>
          <w:ilvl w:val="1"/>
          <w:numId w:val="9"/>
        </w:numPr>
        <w:spacing w:after="0" w:line="240" w:lineRule="auto"/>
        <w:ind w:left="993" w:hanging="284"/>
      </w:pPr>
      <w:r>
        <w:t>Academic colleague from another degree apprenticeship programme</w:t>
      </w:r>
    </w:p>
    <w:p w14:paraId="776F2C61" w14:textId="04103051" w:rsidR="00A96AA6" w:rsidRDefault="00A96AA6" w:rsidP="000326E3">
      <w:pPr>
        <w:pStyle w:val="ListParagraph"/>
        <w:numPr>
          <w:ilvl w:val="1"/>
          <w:numId w:val="9"/>
        </w:numPr>
        <w:spacing w:after="0" w:line="240" w:lineRule="auto"/>
        <w:ind w:left="993" w:hanging="284"/>
      </w:pPr>
      <w:r>
        <w:t>APM colleague</w:t>
      </w:r>
      <w:r w:rsidR="009C5CE9">
        <w:t xml:space="preserve"> (from Institution of Professional Work Based Learning or Educational Excellence)</w:t>
      </w:r>
    </w:p>
    <w:p w14:paraId="17BA221B" w14:textId="334C684A" w:rsidR="009C5CE9" w:rsidRDefault="00A9178F" w:rsidP="000326E3">
      <w:pPr>
        <w:pStyle w:val="ListParagraph"/>
        <w:numPr>
          <w:ilvl w:val="1"/>
          <w:numId w:val="9"/>
        </w:numPr>
        <w:spacing w:after="0" w:line="240" w:lineRule="auto"/>
        <w:ind w:left="993" w:hanging="284"/>
      </w:pPr>
      <w:r>
        <w:t>External</w:t>
      </w:r>
      <w:r w:rsidR="003D0355">
        <w:t xml:space="preserve"> (see 5.</w:t>
      </w:r>
      <w:r w:rsidR="00A22339">
        <w:t>i</w:t>
      </w:r>
      <w:r w:rsidR="003D0355">
        <w:t>i)</w:t>
      </w:r>
      <w:r>
        <w:t xml:space="preserve"> </w:t>
      </w:r>
    </w:p>
    <w:p w14:paraId="7BC86567" w14:textId="4A21CAD5" w:rsidR="00757505" w:rsidRDefault="00757505" w:rsidP="000326E3">
      <w:pPr>
        <w:pStyle w:val="ListParagraph"/>
        <w:numPr>
          <w:ilvl w:val="0"/>
          <w:numId w:val="9"/>
        </w:numPr>
        <w:spacing w:after="0" w:line="240" w:lineRule="auto"/>
        <w:ind w:hanging="294"/>
      </w:pPr>
      <w:r>
        <w:t>Secretary</w:t>
      </w:r>
    </w:p>
    <w:p w14:paraId="099A1296" w14:textId="413C7B54" w:rsidR="007F2C47" w:rsidRDefault="007F2C47" w:rsidP="007F2C47">
      <w:pPr>
        <w:pStyle w:val="ListParagraph"/>
        <w:numPr>
          <w:ilvl w:val="1"/>
          <w:numId w:val="9"/>
        </w:numPr>
        <w:spacing w:after="0" w:line="240" w:lineRule="auto"/>
        <w:ind w:left="993" w:hanging="284"/>
      </w:pPr>
      <w:r>
        <w:t>Educational Excellence</w:t>
      </w:r>
      <w:r w:rsidR="007057F0">
        <w:t xml:space="preserve"> Team</w:t>
      </w:r>
    </w:p>
    <w:p w14:paraId="2AD74CD1" w14:textId="77777777" w:rsidR="00964838" w:rsidRDefault="00964838" w:rsidP="00964838">
      <w:pPr>
        <w:spacing w:after="0" w:line="240" w:lineRule="auto"/>
      </w:pPr>
    </w:p>
    <w:p w14:paraId="20AAB017" w14:textId="4DBBA716" w:rsidR="00964838" w:rsidRDefault="00964838" w:rsidP="00964838">
      <w:pPr>
        <w:pStyle w:val="ListParagraph"/>
        <w:numPr>
          <w:ilvl w:val="0"/>
          <w:numId w:val="10"/>
        </w:numPr>
        <w:spacing w:after="0" w:line="240" w:lineRule="auto"/>
        <w:ind w:left="426" w:hanging="142"/>
      </w:pPr>
      <w:r>
        <w:t>Appointment of an external panel member will be coordinated by Educational Excellence in consultation with the Chair</w:t>
      </w:r>
      <w:r w:rsidR="00B21D99">
        <w:t xml:space="preserve">. </w:t>
      </w:r>
      <w:r>
        <w:t>External may refer to either:</w:t>
      </w:r>
    </w:p>
    <w:p w14:paraId="4F3224BE" w14:textId="77777777" w:rsidR="00964838" w:rsidRDefault="00964838" w:rsidP="00964838">
      <w:pPr>
        <w:spacing w:after="0" w:line="240" w:lineRule="auto"/>
      </w:pPr>
    </w:p>
    <w:p w14:paraId="51B86450" w14:textId="77777777" w:rsidR="00964838" w:rsidRDefault="00964838" w:rsidP="00964838">
      <w:pPr>
        <w:pStyle w:val="ListParagraph"/>
        <w:numPr>
          <w:ilvl w:val="0"/>
          <w:numId w:val="12"/>
        </w:numPr>
        <w:spacing w:after="0" w:line="240" w:lineRule="auto"/>
        <w:ind w:hanging="294"/>
      </w:pPr>
      <w:r>
        <w:t xml:space="preserve">A </w:t>
      </w:r>
      <w:r w:rsidRPr="00167AEB">
        <w:t xml:space="preserve">colleague teaching on </w:t>
      </w:r>
      <w:r>
        <w:t xml:space="preserve">degree </w:t>
      </w:r>
      <w:r w:rsidRPr="00167AEB">
        <w:t>apprenticeship programmes at other institutions</w:t>
      </w:r>
      <w:r>
        <w:t xml:space="preserve"> or an </w:t>
      </w:r>
      <w:r w:rsidRPr="00635745">
        <w:t>academic</w:t>
      </w:r>
      <w:r>
        <w:t>;</w:t>
      </w:r>
      <w:r w:rsidRPr="00635745">
        <w:t xml:space="preserve"> or </w:t>
      </w:r>
    </w:p>
    <w:p w14:paraId="29ED425B" w14:textId="5DC9A48C" w:rsidR="00964838" w:rsidRDefault="00964838" w:rsidP="00964838">
      <w:pPr>
        <w:pStyle w:val="ListParagraph"/>
        <w:numPr>
          <w:ilvl w:val="0"/>
          <w:numId w:val="12"/>
        </w:numPr>
        <w:spacing w:after="0" w:line="240" w:lineRule="auto"/>
        <w:ind w:hanging="294"/>
      </w:pPr>
      <w:r>
        <w:t xml:space="preserve">An academic or </w:t>
      </w:r>
      <w:r w:rsidRPr="00635745">
        <w:t>professional colleague from</w:t>
      </w:r>
      <w:r>
        <w:t xml:space="preserve"> UoN with relevant experience (</w:t>
      </w:r>
      <w:r w:rsidR="00B21D99">
        <w:t>e.g.,</w:t>
      </w:r>
      <w:r>
        <w:t xml:space="preserve"> in education and student experience, assessment design, etc.) but </w:t>
      </w:r>
      <w:r w:rsidRPr="00635745">
        <w:t>do</w:t>
      </w:r>
      <w:r>
        <w:t>es</w:t>
      </w:r>
      <w:r w:rsidRPr="00635745">
        <w:t xml:space="preserve"> not teach on </w:t>
      </w:r>
      <w:r>
        <w:t xml:space="preserve">degree </w:t>
      </w:r>
      <w:r w:rsidRPr="00635745">
        <w:t xml:space="preserve">apprenticeship </w:t>
      </w:r>
      <w:r w:rsidR="00F449DA" w:rsidRPr="00635745">
        <w:t>programmes.</w:t>
      </w:r>
    </w:p>
    <w:p w14:paraId="6BA81916" w14:textId="77777777" w:rsidR="00964838" w:rsidRDefault="00964838" w:rsidP="00E32A4B">
      <w:pPr>
        <w:spacing w:after="0" w:line="240" w:lineRule="auto"/>
      </w:pPr>
    </w:p>
    <w:p w14:paraId="2BBBBABA" w14:textId="0F3974D7" w:rsidR="00061A82" w:rsidRDefault="00061A82" w:rsidP="005864CF">
      <w:pPr>
        <w:pStyle w:val="ListParagraph"/>
        <w:numPr>
          <w:ilvl w:val="0"/>
          <w:numId w:val="10"/>
        </w:numPr>
        <w:spacing w:after="0" w:line="240" w:lineRule="auto"/>
        <w:ind w:left="426" w:hanging="142"/>
      </w:pPr>
      <w:r>
        <w:t>The Chair’s responsibilities are</w:t>
      </w:r>
      <w:r w:rsidR="000326E3">
        <w:t>:</w:t>
      </w:r>
    </w:p>
    <w:p w14:paraId="12FC77D4" w14:textId="77777777" w:rsidR="00D14CBF" w:rsidRDefault="00D14CBF" w:rsidP="00635745">
      <w:pPr>
        <w:spacing w:after="0" w:line="240" w:lineRule="auto"/>
      </w:pPr>
    </w:p>
    <w:p w14:paraId="2942B96A" w14:textId="7F54A902" w:rsidR="00D14CBF" w:rsidRDefault="00996317" w:rsidP="005864CF">
      <w:pPr>
        <w:pStyle w:val="ListParagraph"/>
        <w:numPr>
          <w:ilvl w:val="0"/>
          <w:numId w:val="11"/>
        </w:numPr>
        <w:spacing w:after="0" w:line="240" w:lineRule="auto"/>
        <w:ind w:hanging="294"/>
      </w:pPr>
      <w:r>
        <w:t xml:space="preserve">To </w:t>
      </w:r>
      <w:r w:rsidR="00D64CCA">
        <w:t xml:space="preserve">support Educational Excellence in </w:t>
      </w:r>
      <w:r w:rsidR="00916CBB">
        <w:t>appointing panel members</w:t>
      </w:r>
    </w:p>
    <w:p w14:paraId="7987E969" w14:textId="64E1D7E1" w:rsidR="00916CBB" w:rsidRDefault="00916CBB" w:rsidP="005864CF">
      <w:pPr>
        <w:pStyle w:val="ListParagraph"/>
        <w:numPr>
          <w:ilvl w:val="0"/>
          <w:numId w:val="11"/>
        </w:numPr>
        <w:spacing w:after="0" w:line="240" w:lineRule="auto"/>
        <w:ind w:hanging="294"/>
      </w:pPr>
      <w:r>
        <w:t xml:space="preserve">To identify </w:t>
      </w:r>
      <w:r w:rsidR="000F79EE">
        <w:t xml:space="preserve">appropriate additional documentation required for the </w:t>
      </w:r>
      <w:r w:rsidR="00F449DA">
        <w:t>IQR.</w:t>
      </w:r>
    </w:p>
    <w:p w14:paraId="69D1C373" w14:textId="64CD5E32" w:rsidR="000F79EE" w:rsidRDefault="000F79EE" w:rsidP="005864CF">
      <w:pPr>
        <w:pStyle w:val="ListParagraph"/>
        <w:numPr>
          <w:ilvl w:val="0"/>
          <w:numId w:val="11"/>
        </w:numPr>
        <w:spacing w:after="0" w:line="240" w:lineRule="auto"/>
        <w:ind w:hanging="294"/>
      </w:pPr>
      <w:r>
        <w:t xml:space="preserve">To chair the IQR </w:t>
      </w:r>
      <w:r w:rsidR="00613BDD">
        <w:t xml:space="preserve">Panel planning meeting, confirming areas of </w:t>
      </w:r>
      <w:r w:rsidR="00802A5B">
        <w:t xml:space="preserve">inquiry and panel members </w:t>
      </w:r>
      <w:r w:rsidR="00CB3E68">
        <w:t>to lead on these</w:t>
      </w:r>
    </w:p>
    <w:p w14:paraId="10F7F41D" w14:textId="2BDED7BB" w:rsidR="00CB3E68" w:rsidRDefault="00CB3E68" w:rsidP="005864CF">
      <w:pPr>
        <w:pStyle w:val="ListParagraph"/>
        <w:numPr>
          <w:ilvl w:val="0"/>
          <w:numId w:val="11"/>
        </w:numPr>
        <w:spacing w:after="0" w:line="240" w:lineRule="auto"/>
        <w:ind w:hanging="294"/>
      </w:pPr>
      <w:r>
        <w:t>During the IQR, to ensure each session is conducted in a collegiate</w:t>
      </w:r>
      <w:r w:rsidR="00024914">
        <w:t xml:space="preserve">, </w:t>
      </w:r>
      <w:r w:rsidR="00B21D99">
        <w:t>supportive,</w:t>
      </w:r>
      <w:r w:rsidR="00024914">
        <w:t xml:space="preserve"> and inclusive manner while ensuring are</w:t>
      </w:r>
      <w:r w:rsidR="00C97DE4">
        <w:t xml:space="preserve">as of inquiry are discussed and appropriately </w:t>
      </w:r>
      <w:r w:rsidR="00F449DA">
        <w:t>covered.</w:t>
      </w:r>
    </w:p>
    <w:p w14:paraId="75DF569A" w14:textId="0D5D1DA4" w:rsidR="00C97DE4" w:rsidRDefault="00C95578" w:rsidP="005864CF">
      <w:pPr>
        <w:pStyle w:val="ListParagraph"/>
        <w:numPr>
          <w:ilvl w:val="0"/>
          <w:numId w:val="11"/>
        </w:numPr>
        <w:spacing w:after="0" w:line="240" w:lineRule="auto"/>
        <w:ind w:hanging="294"/>
      </w:pPr>
      <w:r>
        <w:t>To chair the IQR panel sessions</w:t>
      </w:r>
      <w:r w:rsidR="00866628">
        <w:t xml:space="preserve">, unless delegated to another panel </w:t>
      </w:r>
      <w:r w:rsidR="00F449DA">
        <w:t>member.</w:t>
      </w:r>
    </w:p>
    <w:p w14:paraId="12587870" w14:textId="51E84EFA" w:rsidR="00866628" w:rsidRDefault="00866628" w:rsidP="005864CF">
      <w:pPr>
        <w:pStyle w:val="ListParagraph"/>
        <w:numPr>
          <w:ilvl w:val="0"/>
          <w:numId w:val="11"/>
        </w:numPr>
        <w:spacing w:after="0" w:line="240" w:lineRule="auto"/>
        <w:ind w:hanging="294"/>
      </w:pPr>
      <w:r>
        <w:t>To chair the IQR Panel post-review meeting</w:t>
      </w:r>
      <w:r w:rsidR="0062765E">
        <w:t xml:space="preserve">, </w:t>
      </w:r>
      <w:r w:rsidR="00B21D99">
        <w:t>confirming,</w:t>
      </w:r>
      <w:r w:rsidR="0062765E">
        <w:t xml:space="preserve"> and reaching consensus on</w:t>
      </w:r>
      <w:r w:rsidR="00596C96">
        <w:t xml:space="preserve"> the finding and conclusions of the IQR</w:t>
      </w:r>
    </w:p>
    <w:p w14:paraId="627ADE41" w14:textId="2C9D47CE" w:rsidR="00596C96" w:rsidRDefault="00596C96" w:rsidP="005864CF">
      <w:pPr>
        <w:pStyle w:val="ListParagraph"/>
        <w:numPr>
          <w:ilvl w:val="0"/>
          <w:numId w:val="11"/>
        </w:numPr>
        <w:spacing w:after="0" w:line="240" w:lineRule="auto"/>
        <w:ind w:hanging="294"/>
      </w:pPr>
      <w:r>
        <w:t>To approve the final IQR report</w:t>
      </w:r>
    </w:p>
    <w:p w14:paraId="466F9AF0" w14:textId="77777777" w:rsidR="00AB387C" w:rsidRDefault="00AB387C" w:rsidP="00AB387C">
      <w:pPr>
        <w:spacing w:after="0" w:line="240" w:lineRule="auto"/>
      </w:pPr>
    </w:p>
    <w:p w14:paraId="436ACD5C" w14:textId="369EDB73" w:rsidR="00AB387C" w:rsidRDefault="007057F0" w:rsidP="006031F9">
      <w:pPr>
        <w:pStyle w:val="ListParagraph"/>
        <w:numPr>
          <w:ilvl w:val="0"/>
          <w:numId w:val="10"/>
        </w:numPr>
        <w:spacing w:after="0" w:line="240" w:lineRule="auto"/>
        <w:ind w:left="426" w:hanging="142"/>
      </w:pPr>
      <w:r>
        <w:t xml:space="preserve">The </w:t>
      </w:r>
      <w:r w:rsidR="000125E0">
        <w:t>P</w:t>
      </w:r>
      <w:r w:rsidR="00C17967">
        <w:t>anel member’s responsibilities</w:t>
      </w:r>
      <w:r w:rsidR="00F73A04">
        <w:t xml:space="preserve"> are:</w:t>
      </w:r>
    </w:p>
    <w:p w14:paraId="40AFDC31" w14:textId="77777777" w:rsidR="00F73A04" w:rsidRDefault="00F73A04" w:rsidP="00F73A04">
      <w:pPr>
        <w:spacing w:after="0" w:line="240" w:lineRule="auto"/>
      </w:pPr>
    </w:p>
    <w:p w14:paraId="05D8A3F1" w14:textId="667CB701" w:rsidR="00764B94" w:rsidRDefault="00D52133" w:rsidP="00764B94">
      <w:pPr>
        <w:pStyle w:val="ListParagraph"/>
        <w:numPr>
          <w:ilvl w:val="0"/>
          <w:numId w:val="13"/>
        </w:numPr>
        <w:spacing w:after="0" w:line="240" w:lineRule="auto"/>
        <w:ind w:hanging="294"/>
      </w:pPr>
      <w:r>
        <w:t xml:space="preserve">To review available documentation and </w:t>
      </w:r>
      <w:r w:rsidR="002304F1">
        <w:t xml:space="preserve">identify </w:t>
      </w:r>
      <w:r w:rsidR="00764B94">
        <w:t xml:space="preserve">appropriate additional documentation through the </w:t>
      </w:r>
      <w:r w:rsidR="00F449DA">
        <w:t>Chair.</w:t>
      </w:r>
    </w:p>
    <w:p w14:paraId="7375AC39" w14:textId="791CB5E7" w:rsidR="00764B94" w:rsidRDefault="0024110A" w:rsidP="00764B94">
      <w:pPr>
        <w:pStyle w:val="ListParagraph"/>
        <w:numPr>
          <w:ilvl w:val="0"/>
          <w:numId w:val="13"/>
        </w:numPr>
        <w:spacing w:after="0" w:line="240" w:lineRule="auto"/>
        <w:ind w:hanging="294"/>
      </w:pPr>
      <w:r>
        <w:t>To attend and engage in all relevant IQR meetings, including pre- and post-</w:t>
      </w:r>
      <w:r w:rsidR="00F449DA">
        <w:t>IQR.</w:t>
      </w:r>
    </w:p>
    <w:p w14:paraId="320711F8" w14:textId="43A18133" w:rsidR="0024110A" w:rsidRDefault="00DF771F" w:rsidP="00764B94">
      <w:pPr>
        <w:pStyle w:val="ListParagraph"/>
        <w:numPr>
          <w:ilvl w:val="0"/>
          <w:numId w:val="13"/>
        </w:numPr>
        <w:spacing w:after="0" w:line="240" w:lineRule="auto"/>
        <w:ind w:hanging="294"/>
      </w:pPr>
      <w:r>
        <w:lastRenderedPageBreak/>
        <w:t xml:space="preserve">To </w:t>
      </w:r>
      <w:r w:rsidR="005D22D0">
        <w:t>identify recommendations for the degree apprenticeship programme team to consider</w:t>
      </w:r>
    </w:p>
    <w:p w14:paraId="0F914ABD" w14:textId="0B22F41C" w:rsidR="005D22D0" w:rsidRDefault="005D22D0" w:rsidP="00764B94">
      <w:pPr>
        <w:pStyle w:val="ListParagraph"/>
        <w:numPr>
          <w:ilvl w:val="0"/>
          <w:numId w:val="13"/>
        </w:numPr>
        <w:spacing w:after="0" w:line="240" w:lineRule="auto"/>
        <w:ind w:hanging="294"/>
      </w:pPr>
      <w:r>
        <w:t>To identify areas of good practice</w:t>
      </w:r>
      <w:r w:rsidR="00B16A79">
        <w:t xml:space="preserve"> and opportunities for showcasing these</w:t>
      </w:r>
    </w:p>
    <w:p w14:paraId="08B76FAE" w14:textId="77777777" w:rsidR="00B16A79" w:rsidRDefault="00B16A79" w:rsidP="00B16A79">
      <w:pPr>
        <w:spacing w:after="0" w:line="240" w:lineRule="auto"/>
      </w:pPr>
    </w:p>
    <w:p w14:paraId="583D79FB" w14:textId="0C28F2EC" w:rsidR="00B16A79" w:rsidRDefault="007057F0" w:rsidP="007057F0">
      <w:pPr>
        <w:pStyle w:val="ListParagraph"/>
        <w:numPr>
          <w:ilvl w:val="0"/>
          <w:numId w:val="10"/>
        </w:numPr>
        <w:spacing w:after="0" w:line="240" w:lineRule="auto"/>
        <w:ind w:left="426" w:hanging="142"/>
      </w:pPr>
      <w:r>
        <w:t>The Educational Excellence Team’s responsibilities are:</w:t>
      </w:r>
    </w:p>
    <w:p w14:paraId="5FDAE16C" w14:textId="2F0259DD" w:rsidR="00A22339" w:rsidRDefault="00AF0567" w:rsidP="00783201">
      <w:pPr>
        <w:pStyle w:val="ListParagraph"/>
        <w:numPr>
          <w:ilvl w:val="0"/>
          <w:numId w:val="14"/>
        </w:numPr>
        <w:spacing w:after="0" w:line="240" w:lineRule="auto"/>
        <w:ind w:hanging="294"/>
      </w:pPr>
      <w:r>
        <w:t xml:space="preserve">Facilitate the </w:t>
      </w:r>
      <w:r w:rsidR="00A820D1">
        <w:t>agreement of IQR dates</w:t>
      </w:r>
      <w:r w:rsidR="00F220DB">
        <w:t xml:space="preserve"> and </w:t>
      </w:r>
      <w:r w:rsidR="00F449DA">
        <w:t>location.</w:t>
      </w:r>
    </w:p>
    <w:p w14:paraId="2D290185" w14:textId="1D00FB19" w:rsidR="00083BE0" w:rsidRDefault="00083BE0" w:rsidP="00783201">
      <w:pPr>
        <w:pStyle w:val="ListParagraph"/>
        <w:numPr>
          <w:ilvl w:val="0"/>
          <w:numId w:val="14"/>
        </w:numPr>
        <w:spacing w:after="0" w:line="240" w:lineRule="auto"/>
        <w:ind w:hanging="294"/>
      </w:pPr>
      <w:r>
        <w:t>Supporting the Chair in appointing IQR panel members</w:t>
      </w:r>
    </w:p>
    <w:p w14:paraId="49A92EAF" w14:textId="45290E12" w:rsidR="0099433D" w:rsidRDefault="0099433D" w:rsidP="00783201">
      <w:pPr>
        <w:pStyle w:val="ListParagraph"/>
        <w:numPr>
          <w:ilvl w:val="0"/>
          <w:numId w:val="14"/>
        </w:numPr>
        <w:spacing w:after="0" w:line="240" w:lineRule="auto"/>
        <w:ind w:hanging="294"/>
      </w:pPr>
      <w:r>
        <w:t>Training</w:t>
      </w:r>
      <w:r w:rsidR="00145BF2">
        <w:t xml:space="preserve"> the Chair/</w:t>
      </w:r>
      <w:r w:rsidR="008240D5">
        <w:t>Panel members</w:t>
      </w:r>
    </w:p>
    <w:p w14:paraId="28A73554" w14:textId="6B0F6BD8" w:rsidR="00F220DB" w:rsidRDefault="00F220DB" w:rsidP="00783201">
      <w:pPr>
        <w:pStyle w:val="ListParagraph"/>
        <w:numPr>
          <w:ilvl w:val="0"/>
          <w:numId w:val="14"/>
        </w:numPr>
        <w:spacing w:after="0" w:line="240" w:lineRule="auto"/>
        <w:ind w:hanging="294"/>
      </w:pPr>
      <w:r>
        <w:t xml:space="preserve">Coordinating </w:t>
      </w:r>
      <w:r w:rsidR="00733396">
        <w:t>the IQR Panel’s access to relevant documentation</w:t>
      </w:r>
    </w:p>
    <w:p w14:paraId="1C69A013" w14:textId="3B93B9EE" w:rsidR="00733396" w:rsidRDefault="00733396" w:rsidP="00783201">
      <w:pPr>
        <w:pStyle w:val="ListParagraph"/>
        <w:numPr>
          <w:ilvl w:val="0"/>
          <w:numId w:val="14"/>
        </w:numPr>
        <w:spacing w:after="0" w:line="240" w:lineRule="auto"/>
        <w:ind w:hanging="294"/>
      </w:pPr>
      <w:r>
        <w:t xml:space="preserve">Scheduling </w:t>
      </w:r>
      <w:r w:rsidR="006A669F">
        <w:t>pre- and post-IQR meetings</w:t>
      </w:r>
    </w:p>
    <w:p w14:paraId="745D421C" w14:textId="3BB8B287" w:rsidR="00D55D73" w:rsidRDefault="00D55D73" w:rsidP="00783201">
      <w:pPr>
        <w:pStyle w:val="ListParagraph"/>
        <w:numPr>
          <w:ilvl w:val="0"/>
          <w:numId w:val="14"/>
        </w:numPr>
        <w:spacing w:after="0" w:line="240" w:lineRule="auto"/>
        <w:ind w:hanging="294"/>
      </w:pPr>
      <w:r>
        <w:t xml:space="preserve">Co-ordinate the </w:t>
      </w:r>
      <w:r w:rsidR="00C20F53">
        <w:t>agenda with the Chair and Senior Degree Apprenticeship Manager</w:t>
      </w:r>
    </w:p>
    <w:p w14:paraId="418FCA5E" w14:textId="41A7BFB7" w:rsidR="003A545D" w:rsidRDefault="003A545D" w:rsidP="00783201">
      <w:pPr>
        <w:pStyle w:val="ListParagraph"/>
        <w:numPr>
          <w:ilvl w:val="0"/>
          <w:numId w:val="14"/>
        </w:numPr>
        <w:spacing w:after="0" w:line="240" w:lineRule="auto"/>
        <w:ind w:hanging="294"/>
      </w:pPr>
      <w:r>
        <w:t>Supporting the IQR Panel prior to and during the IQR</w:t>
      </w:r>
    </w:p>
    <w:p w14:paraId="0B504FB4" w14:textId="065C6BE1" w:rsidR="004215F8" w:rsidRDefault="004215F8" w:rsidP="00783201">
      <w:pPr>
        <w:pStyle w:val="ListParagraph"/>
        <w:numPr>
          <w:ilvl w:val="0"/>
          <w:numId w:val="14"/>
        </w:numPr>
        <w:spacing w:after="0" w:line="240" w:lineRule="auto"/>
        <w:ind w:hanging="294"/>
      </w:pPr>
      <w:r>
        <w:t>Recording discussions and key points from the IQR sessions</w:t>
      </w:r>
      <w:r w:rsidR="00B01251">
        <w:t xml:space="preserve">, and reporting these to the IQR panel members </w:t>
      </w:r>
      <w:r w:rsidR="00B44622">
        <w:t xml:space="preserve">so support the development of their conclusions and </w:t>
      </w:r>
      <w:r w:rsidR="00F449DA">
        <w:t>recommendations.</w:t>
      </w:r>
    </w:p>
    <w:p w14:paraId="1C170F55" w14:textId="43D55203" w:rsidR="00B44622" w:rsidRDefault="00F6760C" w:rsidP="00783201">
      <w:pPr>
        <w:pStyle w:val="ListParagraph"/>
        <w:numPr>
          <w:ilvl w:val="0"/>
          <w:numId w:val="14"/>
        </w:numPr>
        <w:spacing w:after="0" w:line="240" w:lineRule="auto"/>
        <w:ind w:hanging="294"/>
      </w:pPr>
      <w:r>
        <w:t>Drafting and coordinating the final IQR report</w:t>
      </w:r>
    </w:p>
    <w:p w14:paraId="4267FB61" w14:textId="77777777" w:rsidR="00A22339" w:rsidRDefault="00A22339" w:rsidP="00A22339">
      <w:pPr>
        <w:spacing w:after="0" w:line="240" w:lineRule="auto"/>
      </w:pPr>
    </w:p>
    <w:p w14:paraId="4BF85A26" w14:textId="7EC822F7" w:rsidR="00DA5AA6" w:rsidRPr="00DA5AA6" w:rsidRDefault="00DA5AA6" w:rsidP="00DA5AA6">
      <w:pPr>
        <w:pStyle w:val="ListParagraph"/>
        <w:numPr>
          <w:ilvl w:val="0"/>
          <w:numId w:val="1"/>
        </w:numPr>
        <w:spacing w:after="0" w:line="240" w:lineRule="auto"/>
        <w:ind w:left="284" w:hanging="295"/>
        <w:rPr>
          <w:b/>
          <w:bCs/>
          <w:color w:val="215E99" w:themeColor="text2" w:themeTint="BF"/>
        </w:rPr>
      </w:pPr>
      <w:r w:rsidRPr="00DA5AA6">
        <w:rPr>
          <w:b/>
          <w:bCs/>
          <w:color w:val="215E99" w:themeColor="text2" w:themeTint="BF"/>
        </w:rPr>
        <w:t>IQR Documentation</w:t>
      </w:r>
    </w:p>
    <w:p w14:paraId="13A2C4A5" w14:textId="77777777" w:rsidR="00DA5AA6" w:rsidRDefault="00DA5AA6" w:rsidP="00DA5AA6">
      <w:pPr>
        <w:spacing w:after="0" w:line="240" w:lineRule="auto"/>
      </w:pPr>
    </w:p>
    <w:p w14:paraId="1F60631E" w14:textId="07C45BFC" w:rsidR="00641DCC" w:rsidRPr="00641DCC" w:rsidRDefault="00641DCC" w:rsidP="00CD192A">
      <w:pPr>
        <w:pStyle w:val="ListParagraph"/>
        <w:numPr>
          <w:ilvl w:val="0"/>
          <w:numId w:val="24"/>
        </w:numPr>
        <w:spacing w:after="0" w:line="240" w:lineRule="auto"/>
        <w:ind w:left="426" w:hanging="142"/>
        <w:rPr>
          <w:lang w:val="en-GB"/>
        </w:rPr>
      </w:pPr>
      <w:r w:rsidRPr="00641DCC">
        <w:t>As a supportive process, the IQR should not create a significant additional burden on programme teams.</w:t>
      </w:r>
      <w:r w:rsidRPr="00641DCC">
        <w:rPr>
          <w:lang w:val="en-GB"/>
        </w:rPr>
        <w:t> </w:t>
      </w:r>
    </w:p>
    <w:p w14:paraId="4FC72806" w14:textId="77777777" w:rsidR="00641DCC" w:rsidRPr="00641DCC" w:rsidRDefault="00641DCC" w:rsidP="00CD192A">
      <w:pPr>
        <w:spacing w:after="0" w:line="240" w:lineRule="auto"/>
        <w:ind w:left="426" w:hanging="142"/>
        <w:rPr>
          <w:lang w:val="en-GB"/>
        </w:rPr>
      </w:pPr>
      <w:r w:rsidRPr="00641DCC">
        <w:rPr>
          <w:lang w:val="en-GB"/>
        </w:rPr>
        <w:t> </w:t>
      </w:r>
    </w:p>
    <w:p w14:paraId="26575BE0" w14:textId="16B0677F" w:rsidR="00641DCC" w:rsidRPr="00641DCC" w:rsidRDefault="00641DCC" w:rsidP="00CD192A">
      <w:pPr>
        <w:pStyle w:val="ListParagraph"/>
        <w:numPr>
          <w:ilvl w:val="0"/>
          <w:numId w:val="24"/>
        </w:numPr>
        <w:spacing w:after="0" w:line="240" w:lineRule="auto"/>
        <w:ind w:left="426" w:hanging="142"/>
        <w:rPr>
          <w:lang w:val="en-GB"/>
        </w:rPr>
      </w:pPr>
      <w:r w:rsidRPr="00641DCC">
        <w:t xml:space="preserve">Programmes will be asked to complete </w:t>
      </w:r>
      <w:proofErr w:type="gramStart"/>
      <w:r w:rsidR="00386577" w:rsidRPr="00641DCC">
        <w:t>a brief summary</w:t>
      </w:r>
      <w:proofErr w:type="gramEnd"/>
      <w:r w:rsidRPr="00641DCC">
        <w:t xml:space="preserve"> document prior to the IQR, providing a narrative on performance metrics and detailing key achievements, </w:t>
      </w:r>
      <w:r w:rsidR="00386577" w:rsidRPr="00641DCC">
        <w:t>challenges,</w:t>
      </w:r>
      <w:r w:rsidRPr="00641DCC">
        <w:t xml:space="preserve"> and areas they wish to focus on.  It is envisaged that this summary will be informed in part by the current QIP</w:t>
      </w:r>
      <w:r w:rsidR="00B21D99" w:rsidRPr="00641DCC">
        <w:t xml:space="preserve">. </w:t>
      </w:r>
      <w:r w:rsidRPr="00641DCC">
        <w:t xml:space="preserve">A template </w:t>
      </w:r>
      <w:r w:rsidR="00FC11D1">
        <w:t>is provided, see Appendix 1.</w:t>
      </w:r>
      <w:r w:rsidRPr="00641DCC">
        <w:rPr>
          <w:lang w:val="en-GB"/>
        </w:rPr>
        <w:t> </w:t>
      </w:r>
    </w:p>
    <w:p w14:paraId="006C7739" w14:textId="77777777" w:rsidR="00641DCC" w:rsidRPr="00641DCC" w:rsidRDefault="00641DCC" w:rsidP="00CD192A">
      <w:pPr>
        <w:spacing w:after="0" w:line="240" w:lineRule="auto"/>
        <w:ind w:left="426" w:hanging="142"/>
        <w:rPr>
          <w:lang w:val="en-GB"/>
        </w:rPr>
      </w:pPr>
      <w:r w:rsidRPr="00641DCC">
        <w:rPr>
          <w:lang w:val="en-GB"/>
        </w:rPr>
        <w:t> </w:t>
      </w:r>
    </w:p>
    <w:p w14:paraId="63F98144" w14:textId="499A95B0" w:rsidR="009A0554" w:rsidRPr="009A0554" w:rsidRDefault="00641DCC" w:rsidP="00CD192A">
      <w:pPr>
        <w:pStyle w:val="ListParagraph"/>
        <w:numPr>
          <w:ilvl w:val="0"/>
          <w:numId w:val="24"/>
        </w:numPr>
        <w:spacing w:after="0" w:line="240" w:lineRule="auto"/>
        <w:ind w:left="426" w:hanging="142"/>
        <w:rPr>
          <w:lang w:val="en-GB"/>
        </w:rPr>
      </w:pPr>
      <w:r w:rsidRPr="00641DCC">
        <w:t>The expectation is that programmes will not routinely be asked to provide additional information/data</w:t>
      </w:r>
      <w:r w:rsidR="00B21D99" w:rsidRPr="00641DCC">
        <w:t xml:space="preserve">. </w:t>
      </w:r>
      <w:r w:rsidRPr="00641DCC">
        <w:t>An information pack will be provided to the panel and the programme team, coordinated by Ed</w:t>
      </w:r>
      <w:r w:rsidR="00CD192A">
        <w:t xml:space="preserve">ucational </w:t>
      </w:r>
      <w:r w:rsidRPr="00641DCC">
        <w:t>Ex</w:t>
      </w:r>
      <w:r w:rsidR="00CD192A">
        <w:t>cellence</w:t>
      </w:r>
      <w:r w:rsidR="00B21D99" w:rsidRPr="00641DCC">
        <w:t>.</w:t>
      </w:r>
      <w:r w:rsidR="00B21D99" w:rsidRPr="009A0554">
        <w:rPr>
          <w:lang w:val="en-GB"/>
        </w:rPr>
        <w:t xml:space="preserve"> </w:t>
      </w:r>
      <w:r w:rsidRPr="00641DCC">
        <w:t>This will include:</w:t>
      </w:r>
    </w:p>
    <w:p w14:paraId="632F1A07" w14:textId="53D315D5" w:rsidR="00641DCC" w:rsidRPr="009A0554" w:rsidRDefault="00641DCC" w:rsidP="009A0554">
      <w:pPr>
        <w:spacing w:after="0" w:line="240" w:lineRule="auto"/>
        <w:rPr>
          <w:lang w:val="en-GB"/>
        </w:rPr>
      </w:pPr>
      <w:r w:rsidRPr="009A0554">
        <w:rPr>
          <w:lang w:val="en-GB"/>
        </w:rPr>
        <w:t> </w:t>
      </w:r>
    </w:p>
    <w:p w14:paraId="21065C0E" w14:textId="77777777" w:rsidR="00641DCC" w:rsidRPr="00641DCC" w:rsidRDefault="00641DCC" w:rsidP="00CD192A">
      <w:pPr>
        <w:numPr>
          <w:ilvl w:val="0"/>
          <w:numId w:val="15"/>
        </w:numPr>
        <w:tabs>
          <w:tab w:val="clear" w:pos="720"/>
        </w:tabs>
        <w:spacing w:after="0" w:line="240" w:lineRule="auto"/>
        <w:ind w:hanging="294"/>
        <w:rPr>
          <w:lang w:val="en-GB"/>
        </w:rPr>
      </w:pPr>
      <w:r w:rsidRPr="00641DCC">
        <w:t>Current SAR</w:t>
      </w:r>
      <w:r w:rsidRPr="00641DCC">
        <w:rPr>
          <w:lang w:val="en-GB"/>
        </w:rPr>
        <w:t> </w:t>
      </w:r>
    </w:p>
    <w:p w14:paraId="0C0652F1" w14:textId="77777777" w:rsidR="00641DCC" w:rsidRPr="00641DCC" w:rsidRDefault="00641DCC" w:rsidP="00CD192A">
      <w:pPr>
        <w:numPr>
          <w:ilvl w:val="0"/>
          <w:numId w:val="16"/>
        </w:numPr>
        <w:tabs>
          <w:tab w:val="clear" w:pos="720"/>
        </w:tabs>
        <w:spacing w:after="0" w:line="240" w:lineRule="auto"/>
        <w:ind w:hanging="294"/>
        <w:rPr>
          <w:lang w:val="en-GB"/>
        </w:rPr>
      </w:pPr>
      <w:r w:rsidRPr="00641DCC">
        <w:t>Current QIP (as a working document we may request the most up to date version)</w:t>
      </w:r>
      <w:r w:rsidRPr="00641DCC">
        <w:rPr>
          <w:lang w:val="en-GB"/>
        </w:rPr>
        <w:t> </w:t>
      </w:r>
    </w:p>
    <w:p w14:paraId="69A89076" w14:textId="77777777" w:rsidR="00641DCC" w:rsidRPr="00641DCC" w:rsidRDefault="00641DCC" w:rsidP="00CD192A">
      <w:pPr>
        <w:numPr>
          <w:ilvl w:val="0"/>
          <w:numId w:val="17"/>
        </w:numPr>
        <w:tabs>
          <w:tab w:val="clear" w:pos="720"/>
        </w:tabs>
        <w:spacing w:after="0" w:line="240" w:lineRule="auto"/>
        <w:ind w:hanging="294"/>
        <w:rPr>
          <w:lang w:val="en-GB"/>
        </w:rPr>
      </w:pPr>
      <w:r w:rsidRPr="00641DCC">
        <w:t>Previous IQR Report</w:t>
      </w:r>
      <w:r w:rsidRPr="00641DCC">
        <w:rPr>
          <w:lang w:val="en-GB"/>
        </w:rPr>
        <w:t> </w:t>
      </w:r>
    </w:p>
    <w:p w14:paraId="02BADF74" w14:textId="77777777" w:rsidR="00641DCC" w:rsidRDefault="00641DCC" w:rsidP="00CD192A">
      <w:pPr>
        <w:numPr>
          <w:ilvl w:val="0"/>
          <w:numId w:val="18"/>
        </w:numPr>
        <w:tabs>
          <w:tab w:val="clear" w:pos="720"/>
        </w:tabs>
        <w:spacing w:after="0" w:line="240" w:lineRule="auto"/>
        <w:ind w:hanging="294"/>
        <w:rPr>
          <w:lang w:val="en-GB"/>
        </w:rPr>
      </w:pPr>
      <w:r w:rsidRPr="00641DCC">
        <w:t>Curriculum Documents</w:t>
      </w:r>
      <w:r w:rsidRPr="00641DCC">
        <w:rPr>
          <w:lang w:val="en-GB"/>
        </w:rPr>
        <w:t> </w:t>
      </w:r>
    </w:p>
    <w:p w14:paraId="143DCEA7" w14:textId="5D3C81B0" w:rsidR="00F714B7" w:rsidRPr="00641DCC" w:rsidRDefault="00F714B7" w:rsidP="00CD192A">
      <w:pPr>
        <w:numPr>
          <w:ilvl w:val="0"/>
          <w:numId w:val="18"/>
        </w:numPr>
        <w:tabs>
          <w:tab w:val="clear" w:pos="720"/>
        </w:tabs>
        <w:spacing w:after="0" w:line="240" w:lineRule="auto"/>
        <w:ind w:hanging="294"/>
        <w:rPr>
          <w:lang w:val="en-GB"/>
        </w:rPr>
      </w:pPr>
      <w:r>
        <w:rPr>
          <w:lang w:val="en-GB"/>
        </w:rPr>
        <w:t>Apprentice Handbooks</w:t>
      </w:r>
    </w:p>
    <w:p w14:paraId="561B1DC9" w14:textId="77777777" w:rsidR="00641DCC" w:rsidRPr="00641DCC" w:rsidRDefault="00641DCC" w:rsidP="00CD192A">
      <w:pPr>
        <w:numPr>
          <w:ilvl w:val="0"/>
          <w:numId w:val="19"/>
        </w:numPr>
        <w:tabs>
          <w:tab w:val="clear" w:pos="720"/>
        </w:tabs>
        <w:spacing w:after="0" w:line="240" w:lineRule="auto"/>
        <w:ind w:hanging="294"/>
        <w:rPr>
          <w:lang w:val="en-GB"/>
        </w:rPr>
      </w:pPr>
      <w:r w:rsidRPr="00641DCC">
        <w:t>PSRB Reports (if appropriate)</w:t>
      </w:r>
      <w:r w:rsidRPr="00641DCC">
        <w:rPr>
          <w:lang w:val="en-GB"/>
        </w:rPr>
        <w:t> </w:t>
      </w:r>
    </w:p>
    <w:p w14:paraId="29265777" w14:textId="77777777" w:rsidR="009E6E32" w:rsidRPr="009E6E32" w:rsidRDefault="00641DCC" w:rsidP="00CD192A">
      <w:pPr>
        <w:numPr>
          <w:ilvl w:val="0"/>
          <w:numId w:val="20"/>
        </w:numPr>
        <w:tabs>
          <w:tab w:val="clear" w:pos="720"/>
        </w:tabs>
        <w:spacing w:after="0" w:line="240" w:lineRule="auto"/>
        <w:ind w:hanging="294"/>
        <w:rPr>
          <w:lang w:val="en-GB"/>
        </w:rPr>
      </w:pPr>
      <w:r w:rsidRPr="00641DCC">
        <w:t>Tri-Partite Review (TPR) Moderation Reports</w:t>
      </w:r>
    </w:p>
    <w:p w14:paraId="69528E26" w14:textId="39B2CFFB" w:rsidR="00641DCC" w:rsidRPr="00641DCC" w:rsidRDefault="009E6E32" w:rsidP="00CD192A">
      <w:pPr>
        <w:numPr>
          <w:ilvl w:val="0"/>
          <w:numId w:val="20"/>
        </w:numPr>
        <w:tabs>
          <w:tab w:val="clear" w:pos="720"/>
        </w:tabs>
        <w:spacing w:after="0" w:line="240" w:lineRule="auto"/>
        <w:ind w:hanging="294"/>
        <w:rPr>
          <w:lang w:val="en-GB"/>
        </w:rPr>
      </w:pPr>
      <w:r>
        <w:t xml:space="preserve">Subcontracted Delivery </w:t>
      </w:r>
      <w:r w:rsidR="001D0817">
        <w:t>Partner Review Reports</w:t>
      </w:r>
      <w:r w:rsidR="00641DCC" w:rsidRPr="00641DCC">
        <w:rPr>
          <w:lang w:val="en-GB"/>
        </w:rPr>
        <w:t> </w:t>
      </w:r>
    </w:p>
    <w:p w14:paraId="1F242864" w14:textId="77777777" w:rsidR="00641DCC" w:rsidRPr="00641DCC" w:rsidRDefault="00641DCC" w:rsidP="00CD192A">
      <w:pPr>
        <w:numPr>
          <w:ilvl w:val="0"/>
          <w:numId w:val="21"/>
        </w:numPr>
        <w:tabs>
          <w:tab w:val="clear" w:pos="720"/>
        </w:tabs>
        <w:spacing w:after="0" w:line="240" w:lineRule="auto"/>
        <w:ind w:hanging="294"/>
        <w:rPr>
          <w:lang w:val="en-GB"/>
        </w:rPr>
      </w:pPr>
      <w:r w:rsidRPr="00641DCC">
        <w:t>Annual Employer Forum Feedback</w:t>
      </w:r>
      <w:r w:rsidRPr="00641DCC">
        <w:rPr>
          <w:lang w:val="en-GB"/>
        </w:rPr>
        <w:t> </w:t>
      </w:r>
    </w:p>
    <w:p w14:paraId="532B1005" w14:textId="77777777" w:rsidR="009A0554" w:rsidRPr="009A0554" w:rsidRDefault="00641DCC" w:rsidP="00CD192A">
      <w:pPr>
        <w:numPr>
          <w:ilvl w:val="0"/>
          <w:numId w:val="22"/>
        </w:numPr>
        <w:tabs>
          <w:tab w:val="clear" w:pos="720"/>
        </w:tabs>
        <w:spacing w:after="0" w:line="240" w:lineRule="auto"/>
        <w:ind w:hanging="294"/>
        <w:rPr>
          <w:lang w:val="en-GB"/>
        </w:rPr>
      </w:pPr>
      <w:r w:rsidRPr="00641DCC">
        <w:t>Internal Assessor</w:t>
      </w:r>
      <w:r w:rsidR="009A0554">
        <w:t xml:space="preserve"> Reports</w:t>
      </w:r>
    </w:p>
    <w:p w14:paraId="0EEB13CF" w14:textId="77777777" w:rsidR="009A0554" w:rsidRPr="009A0554" w:rsidRDefault="00641DCC" w:rsidP="00CD192A">
      <w:pPr>
        <w:numPr>
          <w:ilvl w:val="0"/>
          <w:numId w:val="22"/>
        </w:numPr>
        <w:tabs>
          <w:tab w:val="clear" w:pos="720"/>
        </w:tabs>
        <w:spacing w:after="0" w:line="240" w:lineRule="auto"/>
        <w:ind w:hanging="294"/>
        <w:rPr>
          <w:lang w:val="en-GB"/>
        </w:rPr>
      </w:pPr>
      <w:r w:rsidRPr="00641DCC">
        <w:t>External Assessor</w:t>
      </w:r>
      <w:r w:rsidR="009A0554">
        <w:t xml:space="preserve"> Reports</w:t>
      </w:r>
      <w:r w:rsidRPr="00641DCC">
        <w:t xml:space="preserve"> </w:t>
      </w:r>
    </w:p>
    <w:p w14:paraId="492E3CF9" w14:textId="55F36E1A" w:rsidR="00641DCC" w:rsidRPr="00CD7866" w:rsidRDefault="00641DCC" w:rsidP="00CD192A">
      <w:pPr>
        <w:numPr>
          <w:ilvl w:val="0"/>
          <w:numId w:val="22"/>
        </w:numPr>
        <w:tabs>
          <w:tab w:val="clear" w:pos="720"/>
        </w:tabs>
        <w:spacing w:after="0" w:line="240" w:lineRule="auto"/>
        <w:ind w:hanging="294"/>
        <w:rPr>
          <w:lang w:val="en-GB"/>
        </w:rPr>
      </w:pPr>
      <w:r w:rsidRPr="00641DCC">
        <w:t>External Examiner Reports</w:t>
      </w:r>
    </w:p>
    <w:p w14:paraId="0332F88F" w14:textId="1CA97E45" w:rsidR="00CD7866" w:rsidRPr="00641DCC" w:rsidRDefault="00CD7866" w:rsidP="00CD192A">
      <w:pPr>
        <w:numPr>
          <w:ilvl w:val="0"/>
          <w:numId w:val="22"/>
        </w:numPr>
        <w:tabs>
          <w:tab w:val="clear" w:pos="720"/>
        </w:tabs>
        <w:spacing w:after="0" w:line="240" w:lineRule="auto"/>
        <w:ind w:hanging="294"/>
        <w:rPr>
          <w:lang w:val="en-GB"/>
        </w:rPr>
      </w:pPr>
      <w:r>
        <w:lastRenderedPageBreak/>
        <w:t>Post EPA Review Meeting Minutes</w:t>
      </w:r>
    </w:p>
    <w:p w14:paraId="4BFDFE12" w14:textId="383BFF41" w:rsidR="00641DCC" w:rsidRDefault="00641DCC" w:rsidP="00CD192A">
      <w:pPr>
        <w:numPr>
          <w:ilvl w:val="0"/>
          <w:numId w:val="23"/>
        </w:numPr>
        <w:tabs>
          <w:tab w:val="clear" w:pos="720"/>
        </w:tabs>
        <w:spacing w:after="0" w:line="240" w:lineRule="auto"/>
        <w:ind w:hanging="294"/>
        <w:rPr>
          <w:lang w:val="en-GB"/>
        </w:rPr>
      </w:pPr>
      <w:r>
        <w:t xml:space="preserve">Relevant </w:t>
      </w:r>
      <w:r w:rsidR="004F6CB2">
        <w:t xml:space="preserve">Performance </w:t>
      </w:r>
      <w:r>
        <w:t>Data</w:t>
      </w:r>
      <w:r w:rsidR="00ED22E4">
        <w:t>/Metrics (</w:t>
      </w:r>
      <w:r w:rsidR="00B21D99">
        <w:t>e.g.,</w:t>
      </w:r>
      <w:r w:rsidR="00ED22E4">
        <w:t xml:space="preserve"> </w:t>
      </w:r>
      <w:r w:rsidR="00875C99">
        <w:t xml:space="preserve">student </w:t>
      </w:r>
      <w:r w:rsidR="00A27EA1">
        <w:t>continuation</w:t>
      </w:r>
      <w:r w:rsidR="00875C99">
        <w:t xml:space="preserve"> and </w:t>
      </w:r>
      <w:r w:rsidR="00D92AD5">
        <w:t xml:space="preserve">completion, </w:t>
      </w:r>
      <w:r w:rsidR="00D8732A">
        <w:t>teaching ob</w:t>
      </w:r>
      <w:r w:rsidR="006A47E9">
        <w:t xml:space="preserve">servation </w:t>
      </w:r>
      <w:r w:rsidR="00875C99">
        <w:t>enga</w:t>
      </w:r>
      <w:r w:rsidR="005C4E39">
        <w:t xml:space="preserve">gement, </w:t>
      </w:r>
      <w:r w:rsidR="00D92AD5">
        <w:t>etc.)</w:t>
      </w:r>
      <w:r w:rsidRPr="4E5D69DB">
        <w:rPr>
          <w:lang w:val="en-GB"/>
        </w:rPr>
        <w:t> </w:t>
      </w:r>
    </w:p>
    <w:p w14:paraId="04907ED7" w14:textId="77777777" w:rsidR="00D92AD5" w:rsidRPr="00641DCC" w:rsidRDefault="00D92AD5" w:rsidP="00D92AD5">
      <w:pPr>
        <w:spacing w:after="0" w:line="240" w:lineRule="auto"/>
        <w:rPr>
          <w:lang w:val="en-GB"/>
        </w:rPr>
      </w:pPr>
    </w:p>
    <w:p w14:paraId="6A08E09D" w14:textId="77777777" w:rsidR="00641DCC" w:rsidRPr="00D92AD5" w:rsidRDefault="00641DCC" w:rsidP="00CD192A">
      <w:pPr>
        <w:pStyle w:val="ListParagraph"/>
        <w:numPr>
          <w:ilvl w:val="0"/>
          <w:numId w:val="24"/>
        </w:numPr>
        <w:spacing w:after="0" w:line="240" w:lineRule="auto"/>
        <w:ind w:left="426" w:hanging="142"/>
        <w:rPr>
          <w:lang w:val="en-GB"/>
        </w:rPr>
      </w:pPr>
      <w:r w:rsidRPr="00641DCC">
        <w:t xml:space="preserve">If there are </w:t>
      </w:r>
      <w:proofErr w:type="gramStart"/>
      <w:r w:rsidRPr="00641DCC">
        <w:t>particular issues</w:t>
      </w:r>
      <w:proofErr w:type="gramEnd"/>
      <w:r w:rsidRPr="00641DCC">
        <w:t xml:space="preserve"> that the panel wish to focus on then they may request additional, relevant information.</w:t>
      </w:r>
      <w:r w:rsidRPr="00D92AD5">
        <w:rPr>
          <w:lang w:val="en-GB"/>
        </w:rPr>
        <w:t> </w:t>
      </w:r>
    </w:p>
    <w:p w14:paraId="12426F93" w14:textId="77777777" w:rsidR="00DA5AA6" w:rsidRDefault="00DA5AA6" w:rsidP="00DA5AA6">
      <w:pPr>
        <w:spacing w:after="0" w:line="240" w:lineRule="auto"/>
      </w:pPr>
    </w:p>
    <w:p w14:paraId="6F25AED8" w14:textId="1FCE82E2" w:rsidR="00CE7024" w:rsidRPr="00067EAD" w:rsidRDefault="005342E9" w:rsidP="00783201">
      <w:pPr>
        <w:pStyle w:val="ListParagraph"/>
        <w:numPr>
          <w:ilvl w:val="0"/>
          <w:numId w:val="1"/>
        </w:numPr>
        <w:spacing w:after="0" w:line="240" w:lineRule="auto"/>
        <w:ind w:left="284" w:hanging="284"/>
        <w:rPr>
          <w:b/>
          <w:bCs/>
          <w:color w:val="215E99" w:themeColor="text2" w:themeTint="BF"/>
        </w:rPr>
      </w:pPr>
      <w:r w:rsidRPr="00067EAD">
        <w:rPr>
          <w:b/>
          <w:bCs/>
          <w:color w:val="215E99" w:themeColor="text2" w:themeTint="BF"/>
        </w:rPr>
        <w:t xml:space="preserve">IQR </w:t>
      </w:r>
      <w:r w:rsidR="00E7431E">
        <w:rPr>
          <w:b/>
          <w:bCs/>
          <w:color w:val="215E99" w:themeColor="text2" w:themeTint="BF"/>
        </w:rPr>
        <w:t>Event</w:t>
      </w:r>
    </w:p>
    <w:p w14:paraId="52327537" w14:textId="77777777" w:rsidR="00067EAD" w:rsidRDefault="00067EAD" w:rsidP="00067EAD">
      <w:pPr>
        <w:spacing w:after="0" w:line="240" w:lineRule="auto"/>
      </w:pPr>
    </w:p>
    <w:p w14:paraId="382DFFAB" w14:textId="02EE0F92" w:rsidR="00CE7024" w:rsidRDefault="00EA02AC" w:rsidP="00EA02AC">
      <w:pPr>
        <w:pStyle w:val="ListParagraph"/>
        <w:numPr>
          <w:ilvl w:val="0"/>
          <w:numId w:val="26"/>
        </w:numPr>
        <w:spacing w:after="0" w:line="240" w:lineRule="auto"/>
        <w:ind w:left="426" w:hanging="153"/>
      </w:pPr>
      <w:r>
        <w:t xml:space="preserve">The IQR event will consist of a series </w:t>
      </w:r>
      <w:r w:rsidR="00940ADD">
        <w:t xml:space="preserve">of collaborative discussions between the IQR Panel and </w:t>
      </w:r>
      <w:r w:rsidR="00D04588">
        <w:t xml:space="preserve">groups of staff and </w:t>
      </w:r>
      <w:r w:rsidR="003570DC">
        <w:t>apprentices</w:t>
      </w:r>
      <w:r w:rsidR="00B21D99">
        <w:t xml:space="preserve">. </w:t>
      </w:r>
      <w:r w:rsidR="003570DC">
        <w:t>These discussions are designed to identify</w:t>
      </w:r>
      <w:r w:rsidR="000F769A">
        <w:t xml:space="preserve"> and </w:t>
      </w:r>
      <w:r w:rsidR="008B1872">
        <w:t>evaluate areas</w:t>
      </w:r>
      <w:r w:rsidR="003570DC">
        <w:t xml:space="preserve"> of good practice and achievement</w:t>
      </w:r>
      <w:r w:rsidR="001E6311">
        <w:t xml:space="preserve"> and those areas requiring </w:t>
      </w:r>
      <w:r w:rsidR="00024D31">
        <w:t>development</w:t>
      </w:r>
      <w:r w:rsidR="001E6311">
        <w:t xml:space="preserve"> and support.</w:t>
      </w:r>
    </w:p>
    <w:p w14:paraId="593C32B5" w14:textId="77777777" w:rsidR="002E0EF0" w:rsidRDefault="002E0EF0" w:rsidP="002E0EF0">
      <w:pPr>
        <w:spacing w:after="0" w:line="240" w:lineRule="auto"/>
      </w:pPr>
    </w:p>
    <w:p w14:paraId="2DA50AE9" w14:textId="0FBE7ADC" w:rsidR="00512C73" w:rsidRDefault="002E0EF0" w:rsidP="00C64425">
      <w:pPr>
        <w:pStyle w:val="ListParagraph"/>
        <w:numPr>
          <w:ilvl w:val="0"/>
          <w:numId w:val="26"/>
        </w:numPr>
        <w:spacing w:after="0" w:line="240" w:lineRule="auto"/>
        <w:ind w:left="426" w:hanging="142"/>
      </w:pPr>
      <w:r>
        <w:t>The schedule of meetings will be agreed in advance of the event</w:t>
      </w:r>
      <w:r w:rsidR="001C4F1B">
        <w:t xml:space="preserve"> with a detailed timetable being made available to the IQR Panel and </w:t>
      </w:r>
      <w:r w:rsidR="00A368DB">
        <w:t>participants</w:t>
      </w:r>
      <w:r w:rsidR="00B21D99">
        <w:t xml:space="preserve">. </w:t>
      </w:r>
      <w:r w:rsidR="00A368DB">
        <w:t xml:space="preserve">It is anticipated the </w:t>
      </w:r>
      <w:r w:rsidR="00512C73">
        <w:t>groups to be included are:</w:t>
      </w:r>
    </w:p>
    <w:p w14:paraId="39AF2CE4" w14:textId="77777777" w:rsidR="00512C73" w:rsidRDefault="00512C73" w:rsidP="00C64425">
      <w:pPr>
        <w:pStyle w:val="ListParagraph"/>
        <w:spacing w:after="0" w:line="240" w:lineRule="auto"/>
      </w:pPr>
    </w:p>
    <w:p w14:paraId="4E6E5060" w14:textId="5117E9CE" w:rsidR="00512C73" w:rsidRDefault="00512C73" w:rsidP="00C64425">
      <w:pPr>
        <w:pStyle w:val="ListParagraph"/>
        <w:numPr>
          <w:ilvl w:val="0"/>
          <w:numId w:val="27"/>
        </w:numPr>
        <w:spacing w:after="0" w:line="240" w:lineRule="auto"/>
        <w:ind w:left="709" w:hanging="283"/>
      </w:pPr>
      <w:r>
        <w:t>Leadership team</w:t>
      </w:r>
    </w:p>
    <w:p w14:paraId="239ECAF1" w14:textId="279823E8" w:rsidR="00512C73" w:rsidRDefault="00512C73" w:rsidP="00C64425">
      <w:pPr>
        <w:pStyle w:val="ListParagraph"/>
        <w:numPr>
          <w:ilvl w:val="0"/>
          <w:numId w:val="27"/>
        </w:numPr>
        <w:spacing w:after="0" w:line="240" w:lineRule="auto"/>
        <w:ind w:left="709" w:hanging="283"/>
      </w:pPr>
      <w:r>
        <w:t>Members of the teaching team</w:t>
      </w:r>
    </w:p>
    <w:p w14:paraId="0DF7A7A8" w14:textId="075E4190" w:rsidR="00512C73" w:rsidRDefault="00512C73" w:rsidP="00C64425">
      <w:pPr>
        <w:pStyle w:val="ListParagraph"/>
        <w:numPr>
          <w:ilvl w:val="0"/>
          <w:numId w:val="27"/>
        </w:numPr>
        <w:spacing w:after="0" w:line="240" w:lineRule="auto"/>
        <w:ind w:left="709" w:hanging="283"/>
      </w:pPr>
      <w:r>
        <w:t>Apprentices</w:t>
      </w:r>
    </w:p>
    <w:p w14:paraId="69130EA3" w14:textId="77777777" w:rsidR="006368E6" w:rsidRDefault="006368E6" w:rsidP="00C64425">
      <w:pPr>
        <w:pStyle w:val="ListParagraph"/>
        <w:spacing w:after="0" w:line="240" w:lineRule="auto"/>
        <w:ind w:left="709"/>
      </w:pPr>
    </w:p>
    <w:p w14:paraId="562C8153" w14:textId="1D67F6E9" w:rsidR="000836FC" w:rsidRDefault="00C64425" w:rsidP="00C64425">
      <w:pPr>
        <w:pStyle w:val="ListParagraph"/>
        <w:numPr>
          <w:ilvl w:val="0"/>
          <w:numId w:val="26"/>
        </w:numPr>
        <w:spacing w:after="0" w:line="240" w:lineRule="auto"/>
        <w:ind w:left="426" w:hanging="142"/>
      </w:pPr>
      <w:r w:rsidRPr="00C64425">
        <w:t>Hybrid meetings can be scheduled as required depending on teaching team/apprentice availability.</w:t>
      </w:r>
    </w:p>
    <w:p w14:paraId="601456E8" w14:textId="77777777" w:rsidR="00777A13" w:rsidRDefault="00777A13" w:rsidP="00777A13">
      <w:pPr>
        <w:pStyle w:val="ListParagraph"/>
        <w:spacing w:after="0" w:line="240" w:lineRule="auto"/>
        <w:ind w:left="426"/>
      </w:pPr>
    </w:p>
    <w:p w14:paraId="43098D1D" w14:textId="0DF975BD" w:rsidR="00777A13" w:rsidRDefault="00777A13" w:rsidP="00C64425">
      <w:pPr>
        <w:pStyle w:val="ListParagraph"/>
        <w:numPr>
          <w:ilvl w:val="0"/>
          <w:numId w:val="26"/>
        </w:numPr>
        <w:spacing w:after="0" w:line="240" w:lineRule="auto"/>
        <w:ind w:left="426" w:hanging="142"/>
      </w:pPr>
      <w:r>
        <w:t>M</w:t>
      </w:r>
      <w:r w:rsidRPr="00777A13">
        <w:t>eeting</w:t>
      </w:r>
      <w:r>
        <w:t>s</w:t>
      </w:r>
      <w:r w:rsidRPr="00777A13">
        <w:t xml:space="preserve"> with employers is not a routine requirement for IQRs, with the Annual Employer Forum fulfilling this function</w:t>
      </w:r>
      <w:r w:rsidR="00B21D99" w:rsidRPr="00777A13">
        <w:t xml:space="preserve">. </w:t>
      </w:r>
      <w:r w:rsidRPr="00777A13">
        <w:t xml:space="preserve">Any relevant issues highlighted at the Forum can be discussed at the IQR and, should the programme team feel it would be beneficial to include any employers in the IQR process, </w:t>
      </w:r>
      <w:r w:rsidR="00F449DA" w:rsidRPr="00777A13">
        <w:t>which</w:t>
      </w:r>
      <w:r w:rsidRPr="00777A13">
        <w:t xml:space="preserve"> will be accommodated.</w:t>
      </w:r>
    </w:p>
    <w:p w14:paraId="0DA4D6C6" w14:textId="77777777" w:rsidR="002D438D" w:rsidRDefault="002D438D" w:rsidP="002D438D">
      <w:pPr>
        <w:pStyle w:val="ListParagraph"/>
      </w:pPr>
    </w:p>
    <w:p w14:paraId="4B260BF0" w14:textId="3F66103F" w:rsidR="002D438D" w:rsidRDefault="002D438D" w:rsidP="00C64425">
      <w:pPr>
        <w:pStyle w:val="ListParagraph"/>
        <w:numPr>
          <w:ilvl w:val="0"/>
          <w:numId w:val="26"/>
        </w:numPr>
        <w:spacing w:after="0" w:line="240" w:lineRule="auto"/>
        <w:ind w:left="426" w:hanging="142"/>
      </w:pPr>
      <w:r>
        <w:t>Teaching observations are no</w:t>
      </w:r>
      <w:r w:rsidR="00B968AC">
        <w:t>t</w:t>
      </w:r>
      <w:r>
        <w:t xml:space="preserve"> included in the IQR process, the Teaching Observation Process fulfils this function</w:t>
      </w:r>
      <w:r w:rsidR="00DD6E6E">
        <w:t>.</w:t>
      </w:r>
    </w:p>
    <w:p w14:paraId="29535193" w14:textId="77777777" w:rsidR="00DD6E6E" w:rsidRDefault="00DD6E6E" w:rsidP="00DD6E6E">
      <w:pPr>
        <w:pStyle w:val="ListParagraph"/>
      </w:pPr>
    </w:p>
    <w:p w14:paraId="538ED377" w14:textId="01937EF0" w:rsidR="00DD6E6E" w:rsidRDefault="00DD6E6E" w:rsidP="00C64425">
      <w:pPr>
        <w:pStyle w:val="ListParagraph"/>
        <w:numPr>
          <w:ilvl w:val="0"/>
          <w:numId w:val="26"/>
        </w:numPr>
        <w:spacing w:after="0" w:line="240" w:lineRule="auto"/>
        <w:ind w:left="426" w:hanging="142"/>
      </w:pPr>
      <w:r w:rsidRPr="00DD6E6E">
        <w:t xml:space="preserve">The </w:t>
      </w:r>
      <w:r>
        <w:t>primary</w:t>
      </w:r>
      <w:r w:rsidRPr="00DD6E6E">
        <w:t xml:space="preserve"> focus of the IQR </w:t>
      </w:r>
      <w:r w:rsidR="002A2882">
        <w:t xml:space="preserve">event </w:t>
      </w:r>
      <w:r w:rsidRPr="00DD6E6E">
        <w:t>will be on assurance and enhancement of the education and student experience and academic quality of the programme, focusing on compliance and continuous improvement</w:t>
      </w:r>
      <w:r w:rsidR="00B21D99" w:rsidRPr="00DD6E6E">
        <w:t xml:space="preserve">. </w:t>
      </w:r>
      <w:r w:rsidRPr="00DD6E6E">
        <w:t xml:space="preserve">The IQR Panel may identify a particular area of focus from the </w:t>
      </w:r>
      <w:r w:rsidR="00790F94">
        <w:t>i</w:t>
      </w:r>
      <w:r w:rsidRPr="00DD6E6E">
        <w:t xml:space="preserve">nformation </w:t>
      </w:r>
      <w:r w:rsidR="00790F94">
        <w:t>p</w:t>
      </w:r>
      <w:r w:rsidRPr="00DD6E6E">
        <w:t>ack which they wish to pursue. </w:t>
      </w:r>
    </w:p>
    <w:p w14:paraId="28A582DF" w14:textId="77777777" w:rsidR="00EB5AEE" w:rsidRDefault="00EB5AEE" w:rsidP="00C64425">
      <w:pPr>
        <w:spacing w:after="0" w:line="240" w:lineRule="auto"/>
      </w:pPr>
    </w:p>
    <w:p w14:paraId="6DC5939F" w14:textId="62EE2499" w:rsidR="00EB5AEE" w:rsidRPr="00EB5AEE" w:rsidRDefault="00EB5AEE" w:rsidP="00EB5AEE">
      <w:pPr>
        <w:pStyle w:val="ListParagraph"/>
        <w:numPr>
          <w:ilvl w:val="0"/>
          <w:numId w:val="1"/>
        </w:numPr>
        <w:spacing w:after="0" w:line="240" w:lineRule="auto"/>
        <w:ind w:left="284" w:hanging="295"/>
        <w:rPr>
          <w:b/>
          <w:bCs/>
          <w:color w:val="215E99" w:themeColor="text2" w:themeTint="BF"/>
        </w:rPr>
      </w:pPr>
      <w:r w:rsidRPr="00EB5AEE">
        <w:rPr>
          <w:b/>
          <w:bCs/>
          <w:color w:val="215E99" w:themeColor="text2" w:themeTint="BF"/>
        </w:rPr>
        <w:t>IQR Report</w:t>
      </w:r>
    </w:p>
    <w:p w14:paraId="225C7714" w14:textId="77777777" w:rsidR="00EB5AEE" w:rsidRDefault="00EB5AEE" w:rsidP="00EB5AEE">
      <w:pPr>
        <w:spacing w:after="0" w:line="240" w:lineRule="auto"/>
      </w:pPr>
    </w:p>
    <w:p w14:paraId="4054F3B0" w14:textId="775B7090" w:rsidR="00EB5AEE" w:rsidRDefault="001B6868" w:rsidP="00D946B2">
      <w:pPr>
        <w:pStyle w:val="ListParagraph"/>
        <w:numPr>
          <w:ilvl w:val="0"/>
          <w:numId w:val="29"/>
        </w:numPr>
        <w:spacing w:after="0" w:line="240" w:lineRule="auto"/>
        <w:ind w:left="426" w:hanging="142"/>
      </w:pPr>
      <w:r>
        <w:t>A verbal report will be provided to the Leadership team at the end on the IQR event</w:t>
      </w:r>
      <w:r w:rsidR="00C7622C">
        <w:t>, highlighting provisional, headline points that will be included in the written report.</w:t>
      </w:r>
    </w:p>
    <w:p w14:paraId="6073F5A9" w14:textId="77777777" w:rsidR="00C7622C" w:rsidRDefault="00C7622C" w:rsidP="00C7622C">
      <w:pPr>
        <w:spacing w:after="0" w:line="240" w:lineRule="auto"/>
      </w:pPr>
    </w:p>
    <w:p w14:paraId="4D815DFC" w14:textId="69FBF7C8" w:rsidR="00AB58FB" w:rsidRDefault="003D5107" w:rsidP="00AB58FB">
      <w:pPr>
        <w:pStyle w:val="ListParagraph"/>
        <w:numPr>
          <w:ilvl w:val="0"/>
          <w:numId w:val="29"/>
        </w:numPr>
        <w:spacing w:after="0" w:line="240" w:lineRule="auto"/>
        <w:ind w:left="567" w:hanging="283"/>
      </w:pPr>
      <w:r>
        <w:lastRenderedPageBreak/>
        <w:t>The written report will be provided on a s</w:t>
      </w:r>
      <w:r w:rsidR="00AB58FB">
        <w:t>tandard template</w:t>
      </w:r>
      <w:r w:rsidR="008665C5">
        <w:t xml:space="preserve"> (see Appendix 2)</w:t>
      </w:r>
      <w:r w:rsidR="00AB58FB">
        <w:t xml:space="preserve"> and will include:</w:t>
      </w:r>
    </w:p>
    <w:p w14:paraId="5387F8A9" w14:textId="2AAB98ED" w:rsidR="00AB58FB" w:rsidRDefault="00AB58FB" w:rsidP="00AB58FB">
      <w:pPr>
        <w:pStyle w:val="ListParagraph"/>
        <w:spacing w:after="0" w:line="240" w:lineRule="auto"/>
      </w:pPr>
    </w:p>
    <w:p w14:paraId="42955E2D" w14:textId="7811EAF2" w:rsidR="006D4961" w:rsidRDefault="002232B8" w:rsidP="00AB58FB">
      <w:pPr>
        <w:pStyle w:val="ListParagraph"/>
        <w:numPr>
          <w:ilvl w:val="0"/>
          <w:numId w:val="30"/>
        </w:numPr>
        <w:spacing w:after="0" w:line="240" w:lineRule="auto"/>
        <w:ind w:hanging="294"/>
      </w:pPr>
      <w:r>
        <w:t>Key strengths</w:t>
      </w:r>
      <w:r w:rsidR="008B1872">
        <w:t xml:space="preserve">, </w:t>
      </w:r>
      <w:r w:rsidR="00F449DA">
        <w:t>including.</w:t>
      </w:r>
    </w:p>
    <w:p w14:paraId="31EF46AC" w14:textId="1E9FC5F3" w:rsidR="00AB58FB" w:rsidRDefault="006D4961" w:rsidP="00B31B6A">
      <w:pPr>
        <w:pStyle w:val="ListParagraph"/>
        <w:numPr>
          <w:ilvl w:val="1"/>
          <w:numId w:val="30"/>
        </w:numPr>
        <w:spacing w:after="0" w:line="240" w:lineRule="auto"/>
        <w:ind w:left="993" w:hanging="284"/>
      </w:pPr>
      <w:r>
        <w:t>R</w:t>
      </w:r>
      <w:r w:rsidR="008B1872">
        <w:t>eflections on how these have been achie</w:t>
      </w:r>
      <w:r>
        <w:t xml:space="preserve">ved and/or </w:t>
      </w:r>
      <w:r w:rsidR="00266012">
        <w:t>maintained.</w:t>
      </w:r>
    </w:p>
    <w:p w14:paraId="1BFE0C37" w14:textId="053ED3EC" w:rsidR="00924157" w:rsidRDefault="00924157" w:rsidP="00B31B6A">
      <w:pPr>
        <w:pStyle w:val="ListParagraph"/>
        <w:numPr>
          <w:ilvl w:val="1"/>
          <w:numId w:val="30"/>
        </w:numPr>
        <w:spacing w:after="0" w:line="240" w:lineRule="auto"/>
        <w:ind w:left="993" w:hanging="284"/>
      </w:pPr>
      <w:r>
        <w:t>Exploring opportunities for wider dissemination and sharing of good practice</w:t>
      </w:r>
    </w:p>
    <w:p w14:paraId="21EF16B7" w14:textId="66A427CF" w:rsidR="002232B8" w:rsidRDefault="002232B8" w:rsidP="00AB58FB">
      <w:pPr>
        <w:pStyle w:val="ListParagraph"/>
        <w:numPr>
          <w:ilvl w:val="0"/>
          <w:numId w:val="30"/>
        </w:numPr>
        <w:spacing w:after="0" w:line="240" w:lineRule="auto"/>
        <w:ind w:hanging="294"/>
      </w:pPr>
      <w:r>
        <w:t xml:space="preserve">Areas for </w:t>
      </w:r>
      <w:r w:rsidR="00024D31">
        <w:t>development</w:t>
      </w:r>
      <w:r w:rsidR="00924157">
        <w:t xml:space="preserve">, </w:t>
      </w:r>
      <w:r w:rsidR="00266012">
        <w:t>including.</w:t>
      </w:r>
    </w:p>
    <w:p w14:paraId="72F93CE7" w14:textId="37FC0BA0" w:rsidR="00924157" w:rsidRDefault="003407B6" w:rsidP="00B31B6A">
      <w:pPr>
        <w:pStyle w:val="ListParagraph"/>
        <w:numPr>
          <w:ilvl w:val="1"/>
          <w:numId w:val="30"/>
        </w:numPr>
        <w:spacing w:after="0" w:line="240" w:lineRule="auto"/>
        <w:ind w:left="993" w:hanging="284"/>
      </w:pPr>
      <w:r>
        <w:t xml:space="preserve">Recommendations and guidance on how to approach these </w:t>
      </w:r>
      <w:r w:rsidR="00266012">
        <w:t>areas.</w:t>
      </w:r>
    </w:p>
    <w:p w14:paraId="05D217E0" w14:textId="22702AB5" w:rsidR="003407B6" w:rsidRDefault="003407B6" w:rsidP="00B31B6A">
      <w:pPr>
        <w:pStyle w:val="ListParagraph"/>
        <w:numPr>
          <w:ilvl w:val="1"/>
          <w:numId w:val="30"/>
        </w:numPr>
        <w:spacing w:after="0" w:line="240" w:lineRule="auto"/>
        <w:ind w:left="993" w:hanging="284"/>
      </w:pPr>
      <w:r>
        <w:t>Signposting to relevant resources</w:t>
      </w:r>
    </w:p>
    <w:p w14:paraId="680B8967" w14:textId="77777777" w:rsidR="00085D29" w:rsidRDefault="00085D29" w:rsidP="00085D29">
      <w:pPr>
        <w:spacing w:after="0" w:line="240" w:lineRule="auto"/>
      </w:pPr>
    </w:p>
    <w:p w14:paraId="4EAFDCCB" w14:textId="59EF23E4" w:rsidR="00085D29" w:rsidRDefault="00E966AB" w:rsidP="004A27E1">
      <w:pPr>
        <w:pStyle w:val="ListParagraph"/>
        <w:numPr>
          <w:ilvl w:val="0"/>
          <w:numId w:val="29"/>
        </w:numPr>
        <w:spacing w:after="0" w:line="240" w:lineRule="auto"/>
        <w:ind w:left="426" w:hanging="142"/>
      </w:pPr>
      <w:r>
        <w:t xml:space="preserve">No </w:t>
      </w:r>
      <w:r w:rsidR="007F475B">
        <w:t>specific action plan will be presented or required from programme teams</w:t>
      </w:r>
      <w:r w:rsidR="00B21D99">
        <w:t xml:space="preserve">. </w:t>
      </w:r>
      <w:r w:rsidR="007F475B">
        <w:t>As part of wider quality assurance and enhancement processes</w:t>
      </w:r>
      <w:r w:rsidR="004A27E1">
        <w:t>, it is expected that the IQR report will feed into the completion of the SAR and QIP.</w:t>
      </w:r>
    </w:p>
    <w:p w14:paraId="6E7CDF4B" w14:textId="77777777" w:rsidR="004A27E1" w:rsidRDefault="004A27E1" w:rsidP="004A27E1">
      <w:pPr>
        <w:spacing w:after="0" w:line="240" w:lineRule="auto"/>
      </w:pPr>
    </w:p>
    <w:p w14:paraId="6FFED064" w14:textId="5A002BBE" w:rsidR="004A27E1" w:rsidRDefault="006244BC" w:rsidP="004A27E1">
      <w:pPr>
        <w:pStyle w:val="ListParagraph"/>
        <w:numPr>
          <w:ilvl w:val="0"/>
          <w:numId w:val="29"/>
        </w:numPr>
        <w:spacing w:after="0" w:line="240" w:lineRule="auto"/>
        <w:ind w:left="426" w:hanging="142"/>
      </w:pPr>
      <w:r>
        <w:t xml:space="preserve">The report will provide </w:t>
      </w:r>
      <w:r w:rsidR="00E767F7">
        <w:t>a summary and feedback in narrative form, wi</w:t>
      </w:r>
      <w:r w:rsidR="002F6268">
        <w:t xml:space="preserve">th </w:t>
      </w:r>
      <w:r w:rsidR="00EC1070">
        <w:t xml:space="preserve">no </w:t>
      </w:r>
      <w:r w:rsidR="002F6268">
        <w:t>ratings or judgements being provided</w:t>
      </w:r>
      <w:r w:rsidR="006F5B58">
        <w:t>.</w:t>
      </w:r>
    </w:p>
    <w:p w14:paraId="127508B1" w14:textId="77777777" w:rsidR="006F5B58" w:rsidRDefault="006F5B58" w:rsidP="006F5B58">
      <w:pPr>
        <w:pStyle w:val="ListParagraph"/>
      </w:pPr>
    </w:p>
    <w:p w14:paraId="781D61E6" w14:textId="40A98003" w:rsidR="00484CF9" w:rsidRDefault="00C05A1D" w:rsidP="00BA0FD4">
      <w:pPr>
        <w:pStyle w:val="ListParagraph"/>
        <w:numPr>
          <w:ilvl w:val="0"/>
          <w:numId w:val="29"/>
        </w:numPr>
        <w:spacing w:after="0" w:line="240" w:lineRule="auto"/>
        <w:ind w:left="426" w:hanging="142"/>
      </w:pPr>
      <w:r>
        <w:t>The standard timeline for completion of the IQR report is detailed below</w:t>
      </w:r>
      <w:r w:rsidR="00B21D99">
        <w:t xml:space="preserve">. </w:t>
      </w:r>
      <w:r>
        <w:t xml:space="preserve">Deviation from this timeline may be necessary </w:t>
      </w:r>
      <w:r w:rsidR="00EB2C00">
        <w:t xml:space="preserve">and subject to individual workloads and </w:t>
      </w:r>
      <w:r w:rsidR="00484CF9">
        <w:t>all relevant parties will be kept informed of any delays.</w:t>
      </w:r>
    </w:p>
    <w:p w14:paraId="616978B0" w14:textId="458DA224" w:rsidR="00484CF9" w:rsidRDefault="00484CF9" w:rsidP="00BA0FD4">
      <w:pPr>
        <w:pStyle w:val="ListParagraph"/>
        <w:spacing w:after="0" w:line="240" w:lineRule="auto"/>
      </w:pPr>
    </w:p>
    <w:p w14:paraId="59FEE9AA" w14:textId="77777777" w:rsidR="007A231E" w:rsidRDefault="004E4DC8" w:rsidP="00BA0FD4">
      <w:pPr>
        <w:pStyle w:val="ListParagraph"/>
        <w:numPr>
          <w:ilvl w:val="0"/>
          <w:numId w:val="32"/>
        </w:numPr>
        <w:spacing w:after="0" w:line="240" w:lineRule="auto"/>
        <w:ind w:left="709" w:hanging="283"/>
      </w:pPr>
      <w:r>
        <w:t xml:space="preserve">Within 1 </w:t>
      </w:r>
      <w:r w:rsidR="008F6EB1">
        <w:t>week</w:t>
      </w:r>
    </w:p>
    <w:p w14:paraId="71EB4E46" w14:textId="2B3A20CD" w:rsidR="00C90AF0" w:rsidRDefault="008F6EB1" w:rsidP="0067669C">
      <w:pPr>
        <w:pStyle w:val="ListParagraph"/>
        <w:numPr>
          <w:ilvl w:val="1"/>
          <w:numId w:val="32"/>
        </w:numPr>
        <w:spacing w:after="0" w:line="240" w:lineRule="auto"/>
        <w:ind w:left="993" w:hanging="284"/>
      </w:pPr>
      <w:r>
        <w:t>Education Excellence draft</w:t>
      </w:r>
      <w:r w:rsidR="00C90AF0">
        <w:t>s</w:t>
      </w:r>
      <w:r>
        <w:t xml:space="preserve"> a summary </w:t>
      </w:r>
      <w:r w:rsidR="001D4037">
        <w:t xml:space="preserve">of the </w:t>
      </w:r>
      <w:r w:rsidR="00266012">
        <w:t>discussions.</w:t>
      </w:r>
    </w:p>
    <w:p w14:paraId="0CBAEF36" w14:textId="4308CF60" w:rsidR="004E4DC8" w:rsidRDefault="00C90AF0" w:rsidP="0067669C">
      <w:pPr>
        <w:pStyle w:val="ListParagraph"/>
        <w:numPr>
          <w:ilvl w:val="1"/>
          <w:numId w:val="32"/>
        </w:numPr>
        <w:spacing w:after="0" w:line="240" w:lineRule="auto"/>
        <w:ind w:left="993" w:hanging="284"/>
      </w:pPr>
      <w:r>
        <w:t>C</w:t>
      </w:r>
      <w:r w:rsidR="001D4037">
        <w:t>irculate to the Panel</w:t>
      </w:r>
    </w:p>
    <w:p w14:paraId="27F21D5E" w14:textId="77777777" w:rsidR="00C90AF0" w:rsidRDefault="006F7CAB" w:rsidP="00BA0FD4">
      <w:pPr>
        <w:pStyle w:val="ListParagraph"/>
        <w:numPr>
          <w:ilvl w:val="0"/>
          <w:numId w:val="32"/>
        </w:numPr>
        <w:spacing w:after="0" w:line="240" w:lineRule="auto"/>
        <w:ind w:left="709" w:hanging="283"/>
      </w:pPr>
      <w:r>
        <w:t>Within 2 weeks</w:t>
      </w:r>
    </w:p>
    <w:p w14:paraId="5F758B47" w14:textId="7DDA79B5" w:rsidR="00C90AF0" w:rsidRDefault="006F7CAB" w:rsidP="0067669C">
      <w:pPr>
        <w:pStyle w:val="ListParagraph"/>
        <w:numPr>
          <w:ilvl w:val="1"/>
          <w:numId w:val="32"/>
        </w:numPr>
        <w:spacing w:after="0" w:line="240" w:lineRule="auto"/>
        <w:ind w:left="993" w:hanging="284"/>
      </w:pPr>
      <w:r>
        <w:t>Panel hold</w:t>
      </w:r>
      <w:r w:rsidR="00C90AF0">
        <w:t>s</w:t>
      </w:r>
      <w:r>
        <w:t xml:space="preserve"> post-IQR </w:t>
      </w:r>
      <w:r w:rsidR="00266012">
        <w:t>meeting.</w:t>
      </w:r>
    </w:p>
    <w:p w14:paraId="406A004D" w14:textId="32988985" w:rsidR="001D4037" w:rsidRDefault="00C90AF0" w:rsidP="0067669C">
      <w:pPr>
        <w:pStyle w:val="ListParagraph"/>
        <w:numPr>
          <w:ilvl w:val="1"/>
          <w:numId w:val="32"/>
        </w:numPr>
        <w:spacing w:after="0" w:line="240" w:lineRule="auto"/>
        <w:ind w:left="993" w:hanging="284"/>
      </w:pPr>
      <w:r>
        <w:t>A</w:t>
      </w:r>
      <w:r w:rsidR="00BA0FD4">
        <w:t xml:space="preserve">gree on </w:t>
      </w:r>
      <w:r w:rsidR="00972FC1">
        <w:t xml:space="preserve">the key strengths and areas for </w:t>
      </w:r>
      <w:r w:rsidR="00024D31">
        <w:t>development</w:t>
      </w:r>
      <w:r w:rsidR="00266012">
        <w:t>.</w:t>
      </w:r>
    </w:p>
    <w:p w14:paraId="11D98E8D" w14:textId="77777777" w:rsidR="00106442" w:rsidRDefault="00511658" w:rsidP="00BA0FD4">
      <w:pPr>
        <w:pStyle w:val="ListParagraph"/>
        <w:numPr>
          <w:ilvl w:val="0"/>
          <w:numId w:val="32"/>
        </w:numPr>
        <w:spacing w:after="0" w:line="240" w:lineRule="auto"/>
        <w:ind w:left="709" w:hanging="283"/>
      </w:pPr>
      <w:r>
        <w:t>Within 4 weeks</w:t>
      </w:r>
    </w:p>
    <w:p w14:paraId="59B416F6" w14:textId="2AA5E94A" w:rsidR="00106442" w:rsidRDefault="00905D08" w:rsidP="0067669C">
      <w:pPr>
        <w:pStyle w:val="ListParagraph"/>
        <w:numPr>
          <w:ilvl w:val="1"/>
          <w:numId w:val="32"/>
        </w:numPr>
        <w:spacing w:after="0" w:line="240" w:lineRule="auto"/>
        <w:ind w:left="993" w:hanging="284"/>
      </w:pPr>
      <w:r>
        <w:t>Educational Excellence draft</w:t>
      </w:r>
      <w:r w:rsidR="00106442">
        <w:t>s</w:t>
      </w:r>
      <w:r>
        <w:t xml:space="preserve"> a full </w:t>
      </w:r>
      <w:r w:rsidR="00266012">
        <w:t>report.</w:t>
      </w:r>
      <w:r>
        <w:t xml:space="preserve"> </w:t>
      </w:r>
    </w:p>
    <w:p w14:paraId="38B4A88B" w14:textId="1F3C259E" w:rsidR="00972FC1" w:rsidRDefault="00106442" w:rsidP="0067669C">
      <w:pPr>
        <w:pStyle w:val="ListParagraph"/>
        <w:numPr>
          <w:ilvl w:val="1"/>
          <w:numId w:val="32"/>
        </w:numPr>
        <w:spacing w:after="0" w:line="240" w:lineRule="auto"/>
        <w:ind w:left="993" w:hanging="284"/>
      </w:pPr>
      <w:r>
        <w:t>C</w:t>
      </w:r>
      <w:r w:rsidR="00905D08">
        <w:t xml:space="preserve">irculate </w:t>
      </w:r>
      <w:r w:rsidR="006649C1">
        <w:t xml:space="preserve">to the Panel for </w:t>
      </w:r>
      <w:r w:rsidR="00266012">
        <w:t>comments.</w:t>
      </w:r>
    </w:p>
    <w:p w14:paraId="437760F9" w14:textId="77777777" w:rsidR="00106442" w:rsidRDefault="006649C1" w:rsidP="00BA0FD4">
      <w:pPr>
        <w:pStyle w:val="ListParagraph"/>
        <w:numPr>
          <w:ilvl w:val="0"/>
          <w:numId w:val="32"/>
        </w:numPr>
        <w:spacing w:after="0" w:line="240" w:lineRule="auto"/>
        <w:ind w:left="709" w:hanging="283"/>
      </w:pPr>
      <w:r>
        <w:t>Within 5 weeks</w:t>
      </w:r>
    </w:p>
    <w:p w14:paraId="28A01FF9" w14:textId="59FB9B44" w:rsidR="00B51D16" w:rsidRDefault="00A14836" w:rsidP="0067669C">
      <w:pPr>
        <w:pStyle w:val="ListParagraph"/>
        <w:numPr>
          <w:ilvl w:val="1"/>
          <w:numId w:val="32"/>
        </w:numPr>
        <w:spacing w:after="0" w:line="240" w:lineRule="auto"/>
        <w:ind w:left="993" w:hanging="284"/>
      </w:pPr>
      <w:r>
        <w:t>Chair review</w:t>
      </w:r>
      <w:r w:rsidR="00106442">
        <w:t>s</w:t>
      </w:r>
      <w:r>
        <w:t xml:space="preserve"> comments and finalise</w:t>
      </w:r>
      <w:r w:rsidR="00B51D16">
        <w:t>s</w:t>
      </w:r>
      <w:r>
        <w:t xml:space="preserve"> the </w:t>
      </w:r>
      <w:r w:rsidR="00F449DA">
        <w:t>report.</w:t>
      </w:r>
    </w:p>
    <w:p w14:paraId="151592AB" w14:textId="5416655D" w:rsidR="006649C1" w:rsidRDefault="00B51D16" w:rsidP="0067669C">
      <w:pPr>
        <w:pStyle w:val="ListParagraph"/>
        <w:numPr>
          <w:ilvl w:val="1"/>
          <w:numId w:val="32"/>
        </w:numPr>
        <w:spacing w:after="0" w:line="240" w:lineRule="auto"/>
        <w:ind w:left="993" w:hanging="284"/>
      </w:pPr>
      <w:r>
        <w:t>S</w:t>
      </w:r>
      <w:r w:rsidR="00B63E3F">
        <w:t xml:space="preserve">ent to </w:t>
      </w:r>
      <w:r w:rsidR="001C5FA7">
        <w:t>the Programme Director for fact-</w:t>
      </w:r>
      <w:r w:rsidR="00F449DA">
        <w:t>checking.</w:t>
      </w:r>
    </w:p>
    <w:p w14:paraId="60C4896E" w14:textId="77777777" w:rsidR="00B51D16" w:rsidRDefault="00A3339C" w:rsidP="00BA0FD4">
      <w:pPr>
        <w:pStyle w:val="ListParagraph"/>
        <w:numPr>
          <w:ilvl w:val="0"/>
          <w:numId w:val="32"/>
        </w:numPr>
        <w:spacing w:after="0" w:line="240" w:lineRule="auto"/>
        <w:ind w:left="709" w:hanging="283"/>
      </w:pPr>
      <w:r>
        <w:t>Within 6 weeks</w:t>
      </w:r>
    </w:p>
    <w:p w14:paraId="483B37EC" w14:textId="16444980" w:rsidR="00B51D16" w:rsidRDefault="006D281B" w:rsidP="0067669C">
      <w:pPr>
        <w:pStyle w:val="ListParagraph"/>
        <w:numPr>
          <w:ilvl w:val="1"/>
          <w:numId w:val="32"/>
        </w:numPr>
        <w:spacing w:after="0" w:line="240" w:lineRule="auto"/>
        <w:ind w:left="993" w:hanging="284"/>
      </w:pPr>
      <w:r>
        <w:t xml:space="preserve">Programme Director returns with </w:t>
      </w:r>
      <w:r w:rsidR="00F449DA">
        <w:t>comments.</w:t>
      </w:r>
      <w:r>
        <w:t xml:space="preserve"> </w:t>
      </w:r>
    </w:p>
    <w:p w14:paraId="52AD5577" w14:textId="29ADFC92" w:rsidR="00A3339C" w:rsidRDefault="006D281B" w:rsidP="0067669C">
      <w:pPr>
        <w:pStyle w:val="ListParagraph"/>
        <w:numPr>
          <w:ilvl w:val="1"/>
          <w:numId w:val="32"/>
        </w:numPr>
        <w:spacing w:after="0" w:line="240" w:lineRule="auto"/>
        <w:ind w:left="993" w:hanging="284"/>
      </w:pPr>
      <w:r>
        <w:t xml:space="preserve">Chair </w:t>
      </w:r>
      <w:r w:rsidR="00B51D16">
        <w:t>r</w:t>
      </w:r>
      <w:r>
        <w:t>eview</w:t>
      </w:r>
      <w:r w:rsidR="00B51D16">
        <w:t>s</w:t>
      </w:r>
      <w:r>
        <w:t xml:space="preserve"> and </w:t>
      </w:r>
      <w:r w:rsidR="007F4ADE">
        <w:t>sign</w:t>
      </w:r>
      <w:r w:rsidR="00B51D16">
        <w:t>s</w:t>
      </w:r>
      <w:r w:rsidR="007F4ADE">
        <w:t xml:space="preserve"> off final </w:t>
      </w:r>
      <w:r w:rsidR="00F449DA">
        <w:t>report.</w:t>
      </w:r>
    </w:p>
    <w:p w14:paraId="59A29445" w14:textId="77777777" w:rsidR="004E4DC8" w:rsidRDefault="004E4DC8" w:rsidP="00BA0FD4">
      <w:pPr>
        <w:pStyle w:val="ListParagraph"/>
        <w:spacing w:after="0" w:line="240" w:lineRule="auto"/>
      </w:pPr>
    </w:p>
    <w:p w14:paraId="7E56C250" w14:textId="7F490906" w:rsidR="00484CF9" w:rsidRDefault="00E2042A" w:rsidP="00484CF9">
      <w:pPr>
        <w:pStyle w:val="ListParagraph"/>
        <w:numPr>
          <w:ilvl w:val="0"/>
          <w:numId w:val="29"/>
        </w:numPr>
        <w:spacing w:after="0" w:line="240" w:lineRule="auto"/>
        <w:ind w:left="426" w:hanging="142"/>
      </w:pPr>
      <w:r>
        <w:t xml:space="preserve">The report should be </w:t>
      </w:r>
      <w:r w:rsidR="00BE7D6B">
        <w:t>viewed</w:t>
      </w:r>
      <w:r>
        <w:t xml:space="preserve"> as a supportive and collaborative document, however, the IQR Chair </w:t>
      </w:r>
      <w:r w:rsidR="00BE7D6B">
        <w:t>retains overall ownership and responsibility for signing off the final report.</w:t>
      </w:r>
    </w:p>
    <w:p w14:paraId="54E03567" w14:textId="77777777" w:rsidR="00F34BBD" w:rsidRDefault="00F34BBD" w:rsidP="00F34BBD">
      <w:pPr>
        <w:spacing w:after="0" w:line="240" w:lineRule="auto"/>
      </w:pPr>
    </w:p>
    <w:p w14:paraId="54B826D3" w14:textId="5298D330" w:rsidR="00184E73" w:rsidRDefault="00F34BBD" w:rsidP="008D6DBB">
      <w:pPr>
        <w:pStyle w:val="ListParagraph"/>
        <w:numPr>
          <w:ilvl w:val="0"/>
          <w:numId w:val="29"/>
        </w:numPr>
        <w:spacing w:after="0" w:line="240" w:lineRule="auto"/>
        <w:ind w:left="426" w:hanging="142"/>
      </w:pPr>
      <w:r>
        <w:t xml:space="preserve">Educational Excellence will produce a summary report of all IQRs </w:t>
      </w:r>
      <w:r w:rsidR="00B12529">
        <w:t>to be presented to Apprenticeship Committee.</w:t>
      </w:r>
      <w:r w:rsidR="00184E73">
        <w:br w:type="page"/>
      </w:r>
    </w:p>
    <w:p w14:paraId="79D6F3CE" w14:textId="19DFF559" w:rsidR="00765BD8" w:rsidRDefault="00765BD8" w:rsidP="00144305">
      <w:pPr>
        <w:spacing w:after="0" w:line="240" w:lineRule="auto"/>
        <w:jc w:val="right"/>
        <w:rPr>
          <w:b/>
          <w:bCs/>
          <w:color w:val="215E99" w:themeColor="text2" w:themeTint="BF"/>
          <w:sz w:val="32"/>
          <w:szCs w:val="32"/>
        </w:rPr>
      </w:pPr>
      <w:r>
        <w:rPr>
          <w:b/>
          <w:bCs/>
          <w:color w:val="215E99" w:themeColor="text2" w:themeTint="BF"/>
          <w:sz w:val="32"/>
          <w:szCs w:val="32"/>
        </w:rPr>
        <w:lastRenderedPageBreak/>
        <w:t>Appendix 1</w:t>
      </w:r>
    </w:p>
    <w:p w14:paraId="345009A1" w14:textId="277620D9" w:rsidR="00184E73" w:rsidRDefault="00184E73" w:rsidP="00144305">
      <w:pPr>
        <w:spacing w:after="0" w:line="240" w:lineRule="auto"/>
        <w:rPr>
          <w:b/>
          <w:bCs/>
          <w:color w:val="215E99" w:themeColor="text2" w:themeTint="BF"/>
          <w:sz w:val="32"/>
          <w:szCs w:val="32"/>
        </w:rPr>
      </w:pPr>
      <w:r w:rsidRPr="004C17A4">
        <w:rPr>
          <w:b/>
          <w:bCs/>
          <w:color w:val="215E99" w:themeColor="text2" w:themeTint="BF"/>
          <w:sz w:val="32"/>
          <w:szCs w:val="32"/>
        </w:rPr>
        <w:t>Degree Apprenticeships Internal Quality Reviews</w:t>
      </w:r>
    </w:p>
    <w:p w14:paraId="5FADAC93" w14:textId="2970450D" w:rsidR="004A0020" w:rsidRPr="004C17A4" w:rsidRDefault="004A0020" w:rsidP="00144305">
      <w:pPr>
        <w:spacing w:after="0" w:line="240" w:lineRule="auto"/>
        <w:rPr>
          <w:b/>
          <w:bCs/>
          <w:color w:val="215E99" w:themeColor="text2" w:themeTint="BF"/>
          <w:sz w:val="32"/>
          <w:szCs w:val="32"/>
        </w:rPr>
      </w:pPr>
      <w:r>
        <w:rPr>
          <w:b/>
          <w:bCs/>
          <w:color w:val="215E99" w:themeColor="text2" w:themeTint="BF"/>
          <w:sz w:val="32"/>
          <w:szCs w:val="32"/>
        </w:rPr>
        <w:t>Information Pack: Programme Summary</w:t>
      </w:r>
    </w:p>
    <w:p w14:paraId="314F786D" w14:textId="1DB0EF3A" w:rsidR="00184E73" w:rsidRDefault="00184E73" w:rsidP="00144305">
      <w:pPr>
        <w:spacing w:after="0" w:line="240" w:lineRule="auto"/>
      </w:pPr>
    </w:p>
    <w:p w14:paraId="255085D3" w14:textId="5EA38178" w:rsidR="00CB7ED0" w:rsidRDefault="008665C5" w:rsidP="00144305">
      <w:pPr>
        <w:spacing w:after="0" w:line="240" w:lineRule="auto"/>
      </w:pPr>
      <w:r>
        <w:t>As part of the information pack provided to the IQR Panel, p</w:t>
      </w:r>
      <w:r w:rsidRPr="00641DCC">
        <w:t xml:space="preserve">rogrammes </w:t>
      </w:r>
      <w:r>
        <w:t>are</w:t>
      </w:r>
      <w:r w:rsidRPr="00641DCC">
        <w:t xml:space="preserve"> asked to complete </w:t>
      </w:r>
      <w:r w:rsidR="00C81169">
        <w:t xml:space="preserve">this </w:t>
      </w:r>
      <w:r w:rsidR="003953EE">
        <w:t xml:space="preserve">summary form to provide reflections </w:t>
      </w:r>
      <w:r w:rsidR="00CB7ED0">
        <w:t xml:space="preserve">on developments and challenges since the last IQR. </w:t>
      </w:r>
      <w:r w:rsidR="00CB7ED0" w:rsidRPr="00641DCC">
        <w:t>It is envisaged that this summary will be informed in part by the current QIP</w:t>
      </w:r>
      <w:r w:rsidR="00CB7ED0">
        <w:t>.</w:t>
      </w:r>
    </w:p>
    <w:p w14:paraId="4F99FAD2" w14:textId="77777777" w:rsidR="00CB7ED0" w:rsidRDefault="00CB7ED0" w:rsidP="00144305">
      <w:pPr>
        <w:spacing w:after="0" w:line="240" w:lineRule="auto"/>
      </w:pPr>
    </w:p>
    <w:p w14:paraId="0F3B6EDD" w14:textId="47AA5DC9" w:rsidR="00570AD3" w:rsidRDefault="007B0557" w:rsidP="00144305">
      <w:pPr>
        <w:spacing w:after="0" w:line="240" w:lineRule="auto"/>
      </w:pPr>
      <w:r>
        <w:t>Please</w:t>
      </w:r>
      <w:r w:rsidR="008665C5" w:rsidRPr="00641DCC">
        <w:t xml:space="preserve"> provid</w:t>
      </w:r>
      <w:r>
        <w:t>e</w:t>
      </w:r>
      <w:r w:rsidR="008665C5" w:rsidRPr="00641DCC">
        <w:t xml:space="preserve"> a </w:t>
      </w:r>
      <w:r>
        <w:t xml:space="preserve">brief narrative </w:t>
      </w:r>
      <w:r w:rsidR="002A7D6A">
        <w:t>in each of the following sections.</w:t>
      </w:r>
      <w:r w:rsidR="00EA46E9">
        <w:t xml:space="preserve"> </w:t>
      </w:r>
      <w:r w:rsidR="00570AD3">
        <w:t xml:space="preserve">This is designed to assist the panel in </w:t>
      </w:r>
      <w:r w:rsidR="4290B028">
        <w:t>setting an agenda for the IQR event and inform collaborative discussion.</w:t>
      </w:r>
    </w:p>
    <w:p w14:paraId="306F2D1B" w14:textId="77777777" w:rsidR="00570AD3" w:rsidRDefault="00570AD3" w:rsidP="00144305">
      <w:pPr>
        <w:spacing w:after="0" w:line="240" w:lineRule="auto"/>
      </w:pPr>
    </w:p>
    <w:p w14:paraId="55508F57" w14:textId="77777777" w:rsidR="006133FC" w:rsidRDefault="006133FC" w:rsidP="00144305">
      <w:pPr>
        <w:spacing w:after="0" w:line="240" w:lineRule="auto"/>
      </w:pPr>
    </w:p>
    <w:tbl>
      <w:tblPr>
        <w:tblStyle w:val="TableGrid"/>
        <w:tblW w:w="0" w:type="auto"/>
        <w:tblLook w:val="04A0" w:firstRow="1" w:lastRow="0" w:firstColumn="1" w:lastColumn="0" w:noHBand="0" w:noVBand="1"/>
      </w:tblPr>
      <w:tblGrid>
        <w:gridCol w:w="2405"/>
        <w:gridCol w:w="6945"/>
      </w:tblGrid>
      <w:tr w:rsidR="00B221B3" w14:paraId="18BB82E1" w14:textId="77777777" w:rsidTr="006133FC">
        <w:tc>
          <w:tcPr>
            <w:tcW w:w="2405" w:type="dxa"/>
            <w:shd w:val="clear" w:color="auto" w:fill="215E99" w:themeFill="text2" w:themeFillTint="BF"/>
          </w:tcPr>
          <w:p w14:paraId="7A2EF306" w14:textId="06946EE4" w:rsidR="00B221B3" w:rsidRPr="006133FC" w:rsidRDefault="00B221B3" w:rsidP="00144305">
            <w:pPr>
              <w:rPr>
                <w:b/>
                <w:bCs/>
                <w:color w:val="FFFFFF" w:themeColor="background1"/>
              </w:rPr>
            </w:pPr>
            <w:r w:rsidRPr="006133FC">
              <w:rPr>
                <w:b/>
                <w:bCs/>
                <w:color w:val="FFFFFF" w:themeColor="background1"/>
              </w:rPr>
              <w:t>Programme Title</w:t>
            </w:r>
          </w:p>
        </w:tc>
        <w:tc>
          <w:tcPr>
            <w:tcW w:w="6945" w:type="dxa"/>
          </w:tcPr>
          <w:p w14:paraId="4534E17E" w14:textId="2754C5A4" w:rsidR="00B221B3" w:rsidRDefault="00B221B3" w:rsidP="00144305"/>
        </w:tc>
      </w:tr>
      <w:tr w:rsidR="00B221B3" w14:paraId="1FF6192D" w14:textId="77777777" w:rsidTr="006133FC">
        <w:tc>
          <w:tcPr>
            <w:tcW w:w="2405" w:type="dxa"/>
            <w:shd w:val="clear" w:color="auto" w:fill="215E99" w:themeFill="text2" w:themeFillTint="BF"/>
          </w:tcPr>
          <w:p w14:paraId="36D988A3" w14:textId="076EC4A6" w:rsidR="00B221B3" w:rsidRPr="006133FC" w:rsidRDefault="00CA4652" w:rsidP="00144305">
            <w:pPr>
              <w:rPr>
                <w:b/>
                <w:bCs/>
                <w:color w:val="FFFFFF" w:themeColor="background1"/>
              </w:rPr>
            </w:pPr>
            <w:r w:rsidRPr="006133FC">
              <w:rPr>
                <w:b/>
                <w:bCs/>
                <w:color w:val="FFFFFF" w:themeColor="background1"/>
              </w:rPr>
              <w:t>Year of IQR</w:t>
            </w:r>
          </w:p>
        </w:tc>
        <w:tc>
          <w:tcPr>
            <w:tcW w:w="6945" w:type="dxa"/>
          </w:tcPr>
          <w:p w14:paraId="525B9F2B" w14:textId="77777777" w:rsidR="00B221B3" w:rsidRDefault="00B221B3" w:rsidP="00144305"/>
        </w:tc>
      </w:tr>
      <w:tr w:rsidR="00CA4652" w14:paraId="341523E2" w14:textId="77777777" w:rsidTr="006133FC">
        <w:tc>
          <w:tcPr>
            <w:tcW w:w="2405" w:type="dxa"/>
            <w:shd w:val="clear" w:color="auto" w:fill="215E99" w:themeFill="text2" w:themeFillTint="BF"/>
          </w:tcPr>
          <w:p w14:paraId="00AA9F0C" w14:textId="3F7AC10A" w:rsidR="00CA4652" w:rsidRPr="006133FC" w:rsidRDefault="00CA4652" w:rsidP="00144305">
            <w:pPr>
              <w:rPr>
                <w:b/>
                <w:bCs/>
                <w:color w:val="FFFFFF" w:themeColor="background1"/>
              </w:rPr>
            </w:pPr>
            <w:r w:rsidRPr="006133FC">
              <w:rPr>
                <w:b/>
                <w:bCs/>
                <w:color w:val="FFFFFF" w:themeColor="background1"/>
              </w:rPr>
              <w:t>Completed by</w:t>
            </w:r>
          </w:p>
        </w:tc>
        <w:tc>
          <w:tcPr>
            <w:tcW w:w="6945" w:type="dxa"/>
          </w:tcPr>
          <w:p w14:paraId="2CA43F17" w14:textId="77777777" w:rsidR="00CA4652" w:rsidRDefault="00CA4652" w:rsidP="00144305"/>
        </w:tc>
      </w:tr>
    </w:tbl>
    <w:p w14:paraId="1CD43913" w14:textId="77777777" w:rsidR="00144305" w:rsidRDefault="00144305" w:rsidP="00144305">
      <w:pPr>
        <w:spacing w:after="0" w:line="240" w:lineRule="auto"/>
      </w:pPr>
    </w:p>
    <w:tbl>
      <w:tblPr>
        <w:tblStyle w:val="TableGrid"/>
        <w:tblW w:w="0" w:type="auto"/>
        <w:tblLook w:val="04A0" w:firstRow="1" w:lastRow="0" w:firstColumn="1" w:lastColumn="0" w:noHBand="0" w:noVBand="1"/>
      </w:tblPr>
      <w:tblGrid>
        <w:gridCol w:w="9350"/>
      </w:tblGrid>
      <w:tr w:rsidR="006133FC" w:rsidRPr="006133FC" w14:paraId="18410073" w14:textId="77777777" w:rsidTr="006133FC">
        <w:tc>
          <w:tcPr>
            <w:tcW w:w="9350" w:type="dxa"/>
            <w:shd w:val="clear" w:color="auto" w:fill="215E99" w:themeFill="text2" w:themeFillTint="BF"/>
          </w:tcPr>
          <w:p w14:paraId="7A33CD09" w14:textId="77777777" w:rsidR="00E72582" w:rsidRPr="006133FC" w:rsidRDefault="00F2305B" w:rsidP="00144305">
            <w:pPr>
              <w:rPr>
                <w:b/>
                <w:bCs/>
                <w:color w:val="FFFFFF" w:themeColor="background1"/>
              </w:rPr>
            </w:pPr>
            <w:r w:rsidRPr="006133FC">
              <w:rPr>
                <w:b/>
                <w:bCs/>
                <w:color w:val="FFFFFF" w:themeColor="background1"/>
              </w:rPr>
              <w:t xml:space="preserve">Narrative around </w:t>
            </w:r>
            <w:r w:rsidR="004F6CB2" w:rsidRPr="006133FC">
              <w:rPr>
                <w:b/>
                <w:bCs/>
                <w:color w:val="FFFFFF" w:themeColor="background1"/>
              </w:rPr>
              <w:t>relevant performance metrics/data</w:t>
            </w:r>
          </w:p>
          <w:p w14:paraId="6266AE7E" w14:textId="15E095EA" w:rsidR="00505119" w:rsidRPr="006133FC" w:rsidRDefault="00505119" w:rsidP="00144305">
            <w:pPr>
              <w:rPr>
                <w:color w:val="FFFFFF" w:themeColor="background1"/>
              </w:rPr>
            </w:pPr>
            <w:r w:rsidRPr="006133FC">
              <w:rPr>
                <w:color w:val="FFFFFF" w:themeColor="background1"/>
              </w:rPr>
              <w:t xml:space="preserve">(e.g., </w:t>
            </w:r>
            <w:r w:rsidR="005A0A8C" w:rsidRPr="006133FC">
              <w:rPr>
                <w:color w:val="FFFFFF" w:themeColor="background1"/>
              </w:rPr>
              <w:t>comparison with previous years, significant trends, areas of concern)</w:t>
            </w:r>
          </w:p>
        </w:tc>
      </w:tr>
      <w:tr w:rsidR="00E72582" w14:paraId="72CC107E" w14:textId="77777777" w:rsidTr="006133FC">
        <w:trPr>
          <w:trHeight w:val="2835"/>
        </w:trPr>
        <w:tc>
          <w:tcPr>
            <w:tcW w:w="9350" w:type="dxa"/>
          </w:tcPr>
          <w:p w14:paraId="10BB0C1B" w14:textId="77777777" w:rsidR="00E72582" w:rsidRDefault="00E72582" w:rsidP="00144305"/>
        </w:tc>
      </w:tr>
    </w:tbl>
    <w:p w14:paraId="0C425BE0" w14:textId="77777777" w:rsidR="00144305" w:rsidRDefault="00144305" w:rsidP="00144305">
      <w:pPr>
        <w:spacing w:after="0" w:line="240" w:lineRule="auto"/>
      </w:pPr>
    </w:p>
    <w:tbl>
      <w:tblPr>
        <w:tblStyle w:val="TableGrid"/>
        <w:tblW w:w="0" w:type="auto"/>
        <w:tblLook w:val="04A0" w:firstRow="1" w:lastRow="0" w:firstColumn="1" w:lastColumn="0" w:noHBand="0" w:noVBand="1"/>
      </w:tblPr>
      <w:tblGrid>
        <w:gridCol w:w="9350"/>
      </w:tblGrid>
      <w:tr w:rsidR="006133FC" w:rsidRPr="006133FC" w14:paraId="69164E15" w14:textId="77777777" w:rsidTr="006133FC">
        <w:tc>
          <w:tcPr>
            <w:tcW w:w="9350" w:type="dxa"/>
            <w:shd w:val="clear" w:color="auto" w:fill="215E99" w:themeFill="text2" w:themeFillTint="BF"/>
          </w:tcPr>
          <w:p w14:paraId="643B0365" w14:textId="77777777" w:rsidR="00E72582" w:rsidRPr="006133FC" w:rsidRDefault="00542BD8" w:rsidP="00144305">
            <w:pPr>
              <w:rPr>
                <w:b/>
                <w:bCs/>
                <w:color w:val="FFFFFF" w:themeColor="background1"/>
              </w:rPr>
            </w:pPr>
            <w:r w:rsidRPr="006133FC">
              <w:rPr>
                <w:b/>
                <w:bCs/>
                <w:color w:val="FFFFFF" w:themeColor="background1"/>
              </w:rPr>
              <w:t>Areas of good practice</w:t>
            </w:r>
          </w:p>
          <w:p w14:paraId="19A1A3D1" w14:textId="078932C7" w:rsidR="00542BD8" w:rsidRPr="006133FC" w:rsidRDefault="00542BD8" w:rsidP="00144305">
            <w:pPr>
              <w:rPr>
                <w:color w:val="FFFFFF" w:themeColor="background1"/>
              </w:rPr>
            </w:pPr>
            <w:r w:rsidRPr="006133FC">
              <w:rPr>
                <w:color w:val="FFFFFF" w:themeColor="background1"/>
              </w:rPr>
              <w:t>(</w:t>
            </w:r>
            <w:r w:rsidR="008701D1" w:rsidRPr="006133FC">
              <w:rPr>
                <w:color w:val="FFFFFF" w:themeColor="background1"/>
              </w:rPr>
              <w:t>examples of what the programme does well)</w:t>
            </w:r>
          </w:p>
        </w:tc>
      </w:tr>
      <w:tr w:rsidR="00E72582" w14:paraId="7FA4A2F0" w14:textId="77777777" w:rsidTr="006133FC">
        <w:trPr>
          <w:trHeight w:val="2835"/>
        </w:trPr>
        <w:tc>
          <w:tcPr>
            <w:tcW w:w="9350" w:type="dxa"/>
          </w:tcPr>
          <w:p w14:paraId="17BE6E92" w14:textId="77777777" w:rsidR="00E72582" w:rsidRDefault="00E72582" w:rsidP="00144305"/>
        </w:tc>
      </w:tr>
    </w:tbl>
    <w:p w14:paraId="503D31FA" w14:textId="77777777" w:rsidR="00144305" w:rsidRDefault="00144305" w:rsidP="00144305">
      <w:pPr>
        <w:spacing w:after="0" w:line="240" w:lineRule="auto"/>
      </w:pPr>
    </w:p>
    <w:p w14:paraId="04E303CA" w14:textId="77777777" w:rsidR="006133FC" w:rsidRDefault="006133FC" w:rsidP="00144305">
      <w:pPr>
        <w:spacing w:after="0" w:line="240" w:lineRule="auto"/>
      </w:pPr>
    </w:p>
    <w:tbl>
      <w:tblPr>
        <w:tblStyle w:val="TableGrid"/>
        <w:tblW w:w="0" w:type="auto"/>
        <w:tblLook w:val="04A0" w:firstRow="1" w:lastRow="0" w:firstColumn="1" w:lastColumn="0" w:noHBand="0" w:noVBand="1"/>
      </w:tblPr>
      <w:tblGrid>
        <w:gridCol w:w="9350"/>
      </w:tblGrid>
      <w:tr w:rsidR="006133FC" w:rsidRPr="006133FC" w14:paraId="626F9ADE" w14:textId="77777777" w:rsidTr="006133FC">
        <w:tc>
          <w:tcPr>
            <w:tcW w:w="9350" w:type="dxa"/>
            <w:shd w:val="clear" w:color="auto" w:fill="215E99" w:themeFill="text2" w:themeFillTint="BF"/>
          </w:tcPr>
          <w:p w14:paraId="6A2FABF3" w14:textId="77777777" w:rsidR="00A952BD" w:rsidRPr="006133FC" w:rsidRDefault="00A952BD" w:rsidP="00144305">
            <w:pPr>
              <w:rPr>
                <w:b/>
                <w:bCs/>
                <w:color w:val="FFFFFF" w:themeColor="background1"/>
              </w:rPr>
            </w:pPr>
            <w:r w:rsidRPr="006133FC">
              <w:rPr>
                <w:b/>
                <w:bCs/>
                <w:color w:val="FFFFFF" w:themeColor="background1"/>
              </w:rPr>
              <w:lastRenderedPageBreak/>
              <w:t xml:space="preserve">Key achievements </w:t>
            </w:r>
          </w:p>
          <w:p w14:paraId="6A0BD176" w14:textId="507710D3" w:rsidR="00A952BD" w:rsidRPr="006133FC" w:rsidRDefault="00A952BD" w:rsidP="00144305">
            <w:pPr>
              <w:rPr>
                <w:color w:val="FFFFFF" w:themeColor="background1"/>
              </w:rPr>
            </w:pPr>
            <w:r w:rsidRPr="006133FC">
              <w:rPr>
                <w:color w:val="FFFFFF" w:themeColor="background1"/>
              </w:rPr>
              <w:t>(</w:t>
            </w:r>
            <w:r w:rsidR="00E85CE8" w:rsidRPr="006133FC">
              <w:rPr>
                <w:color w:val="FFFFFF" w:themeColor="background1"/>
              </w:rPr>
              <w:t>examples of key developments since the last IQR)</w:t>
            </w:r>
          </w:p>
        </w:tc>
      </w:tr>
      <w:tr w:rsidR="00E72582" w14:paraId="6CB6C2C1" w14:textId="77777777" w:rsidTr="006133FC">
        <w:trPr>
          <w:trHeight w:val="2835"/>
        </w:trPr>
        <w:tc>
          <w:tcPr>
            <w:tcW w:w="9350" w:type="dxa"/>
          </w:tcPr>
          <w:p w14:paraId="6E953247" w14:textId="77777777" w:rsidR="00E72582" w:rsidRDefault="00E72582" w:rsidP="00144305"/>
        </w:tc>
      </w:tr>
    </w:tbl>
    <w:p w14:paraId="5F892942" w14:textId="77777777" w:rsidR="00144305" w:rsidRDefault="00144305" w:rsidP="00144305">
      <w:pPr>
        <w:spacing w:after="0" w:line="240" w:lineRule="auto"/>
      </w:pPr>
    </w:p>
    <w:tbl>
      <w:tblPr>
        <w:tblStyle w:val="TableGrid"/>
        <w:tblW w:w="0" w:type="auto"/>
        <w:tblLook w:val="04A0" w:firstRow="1" w:lastRow="0" w:firstColumn="1" w:lastColumn="0" w:noHBand="0" w:noVBand="1"/>
      </w:tblPr>
      <w:tblGrid>
        <w:gridCol w:w="9350"/>
      </w:tblGrid>
      <w:tr w:rsidR="006133FC" w:rsidRPr="006133FC" w14:paraId="36736170" w14:textId="77777777" w:rsidTr="006133FC">
        <w:tc>
          <w:tcPr>
            <w:tcW w:w="9350" w:type="dxa"/>
            <w:shd w:val="clear" w:color="auto" w:fill="215E99" w:themeFill="text2" w:themeFillTint="BF"/>
          </w:tcPr>
          <w:p w14:paraId="55A3DAB2" w14:textId="078BE5E9" w:rsidR="00E72582" w:rsidRPr="006133FC" w:rsidRDefault="00C1147A" w:rsidP="00144305">
            <w:pPr>
              <w:rPr>
                <w:b/>
                <w:bCs/>
                <w:color w:val="FFFFFF" w:themeColor="background1"/>
              </w:rPr>
            </w:pPr>
            <w:r w:rsidRPr="006133FC">
              <w:rPr>
                <w:b/>
                <w:bCs/>
                <w:color w:val="FFFFFF" w:themeColor="background1"/>
              </w:rPr>
              <w:t xml:space="preserve">Areas for </w:t>
            </w:r>
            <w:r w:rsidR="00024D31">
              <w:rPr>
                <w:b/>
                <w:bCs/>
                <w:color w:val="FFFFFF" w:themeColor="background1"/>
              </w:rPr>
              <w:t>development</w:t>
            </w:r>
          </w:p>
          <w:p w14:paraId="3A5A54C8" w14:textId="1BE0B5AE" w:rsidR="00A07BB1" w:rsidRPr="006133FC" w:rsidRDefault="00A07BB1" w:rsidP="00144305">
            <w:pPr>
              <w:rPr>
                <w:color w:val="FFFFFF" w:themeColor="background1"/>
              </w:rPr>
            </w:pPr>
            <w:r w:rsidRPr="006133FC">
              <w:rPr>
                <w:color w:val="FFFFFF" w:themeColor="background1"/>
              </w:rPr>
              <w:t xml:space="preserve">(details of what the programme </w:t>
            </w:r>
            <w:r w:rsidR="002A6FD1" w:rsidRPr="006133FC">
              <w:rPr>
                <w:color w:val="FFFFFF" w:themeColor="background1"/>
              </w:rPr>
              <w:t>would like to work on)</w:t>
            </w:r>
          </w:p>
        </w:tc>
      </w:tr>
      <w:tr w:rsidR="00E72582" w14:paraId="25289DA1" w14:textId="77777777" w:rsidTr="006133FC">
        <w:trPr>
          <w:trHeight w:val="2835"/>
        </w:trPr>
        <w:tc>
          <w:tcPr>
            <w:tcW w:w="9350" w:type="dxa"/>
          </w:tcPr>
          <w:p w14:paraId="036DC4EE" w14:textId="453B5187" w:rsidR="005E6924" w:rsidRDefault="005E6924" w:rsidP="00144305"/>
        </w:tc>
      </w:tr>
    </w:tbl>
    <w:p w14:paraId="2C00B39A" w14:textId="77777777" w:rsidR="00144305" w:rsidRDefault="00144305" w:rsidP="00144305">
      <w:pPr>
        <w:spacing w:after="0" w:line="240" w:lineRule="auto"/>
      </w:pPr>
    </w:p>
    <w:tbl>
      <w:tblPr>
        <w:tblStyle w:val="TableGrid"/>
        <w:tblW w:w="0" w:type="auto"/>
        <w:tblLook w:val="04A0" w:firstRow="1" w:lastRow="0" w:firstColumn="1" w:lastColumn="0" w:noHBand="0" w:noVBand="1"/>
      </w:tblPr>
      <w:tblGrid>
        <w:gridCol w:w="9350"/>
      </w:tblGrid>
      <w:tr w:rsidR="006133FC" w:rsidRPr="006133FC" w14:paraId="544E471C" w14:textId="77777777" w:rsidTr="006133FC">
        <w:tc>
          <w:tcPr>
            <w:tcW w:w="9350" w:type="dxa"/>
            <w:shd w:val="clear" w:color="auto" w:fill="215E99" w:themeFill="text2" w:themeFillTint="BF"/>
          </w:tcPr>
          <w:p w14:paraId="0FB387E1" w14:textId="77777777" w:rsidR="00962ED1" w:rsidRPr="006133FC" w:rsidRDefault="00962ED1" w:rsidP="00144305">
            <w:pPr>
              <w:rPr>
                <w:b/>
                <w:bCs/>
                <w:color w:val="FFFFFF" w:themeColor="background1"/>
              </w:rPr>
            </w:pPr>
            <w:bookmarkStart w:id="0" w:name="_Hlk180746767"/>
            <w:r w:rsidRPr="006133FC">
              <w:rPr>
                <w:b/>
                <w:bCs/>
                <w:color w:val="FFFFFF" w:themeColor="background1"/>
              </w:rPr>
              <w:t>Additional information</w:t>
            </w:r>
          </w:p>
          <w:p w14:paraId="34D46C5F" w14:textId="7570826D" w:rsidR="00962ED1" w:rsidRPr="006133FC" w:rsidRDefault="00962ED1" w:rsidP="00144305">
            <w:pPr>
              <w:rPr>
                <w:color w:val="FFFFFF" w:themeColor="background1"/>
              </w:rPr>
            </w:pPr>
            <w:r w:rsidRPr="006133FC">
              <w:rPr>
                <w:color w:val="FFFFFF" w:themeColor="background1"/>
              </w:rPr>
              <w:t>(any areas you would like the IQR to focus on or further information be considered)</w:t>
            </w:r>
          </w:p>
        </w:tc>
      </w:tr>
      <w:tr w:rsidR="00962ED1" w14:paraId="558228F1" w14:textId="77777777" w:rsidTr="006133FC">
        <w:trPr>
          <w:trHeight w:val="2835"/>
        </w:trPr>
        <w:tc>
          <w:tcPr>
            <w:tcW w:w="9350" w:type="dxa"/>
          </w:tcPr>
          <w:p w14:paraId="70039BF0" w14:textId="77777777" w:rsidR="00962ED1" w:rsidRDefault="00962ED1" w:rsidP="00144305"/>
        </w:tc>
      </w:tr>
      <w:bookmarkEnd w:id="0"/>
    </w:tbl>
    <w:p w14:paraId="48BBCEC2" w14:textId="6853BF99" w:rsidR="00CA52EE" w:rsidRDefault="00CA52EE" w:rsidP="00144305">
      <w:pPr>
        <w:spacing w:after="0" w:line="240" w:lineRule="auto"/>
      </w:pPr>
    </w:p>
    <w:p w14:paraId="26E38F3B" w14:textId="77777777" w:rsidR="00CA52EE" w:rsidRDefault="00CA52EE" w:rsidP="00144305">
      <w:pPr>
        <w:spacing w:after="0" w:line="240" w:lineRule="auto"/>
      </w:pPr>
    </w:p>
    <w:p w14:paraId="5F49FEFA" w14:textId="77777777" w:rsidR="00CA52EE" w:rsidRDefault="00CA52EE" w:rsidP="00144305">
      <w:pPr>
        <w:spacing w:after="0" w:line="240" w:lineRule="auto"/>
      </w:pPr>
    </w:p>
    <w:p w14:paraId="6C162A16" w14:textId="0B8B8E77" w:rsidR="006133FC" w:rsidRDefault="006133FC">
      <w:r>
        <w:br w:type="page"/>
      </w:r>
    </w:p>
    <w:p w14:paraId="09A9827B" w14:textId="0F254B1D" w:rsidR="006133FC" w:rsidRDefault="006133FC" w:rsidP="0021269A">
      <w:pPr>
        <w:spacing w:after="0" w:line="240" w:lineRule="auto"/>
        <w:jc w:val="right"/>
        <w:rPr>
          <w:b/>
          <w:bCs/>
          <w:color w:val="215E99" w:themeColor="text2" w:themeTint="BF"/>
          <w:sz w:val="32"/>
          <w:szCs w:val="32"/>
        </w:rPr>
      </w:pPr>
      <w:r>
        <w:rPr>
          <w:b/>
          <w:bCs/>
          <w:color w:val="215E99" w:themeColor="text2" w:themeTint="BF"/>
          <w:sz w:val="32"/>
          <w:szCs w:val="32"/>
        </w:rPr>
        <w:lastRenderedPageBreak/>
        <w:t xml:space="preserve">Appendix </w:t>
      </w:r>
      <w:r w:rsidR="00DE0F4B">
        <w:rPr>
          <w:b/>
          <w:bCs/>
          <w:color w:val="215E99" w:themeColor="text2" w:themeTint="BF"/>
          <w:sz w:val="32"/>
          <w:szCs w:val="32"/>
        </w:rPr>
        <w:t>2</w:t>
      </w:r>
    </w:p>
    <w:p w14:paraId="46FF4C46" w14:textId="77777777" w:rsidR="006133FC" w:rsidRDefault="006133FC" w:rsidP="0021269A">
      <w:pPr>
        <w:spacing w:after="0" w:line="240" w:lineRule="auto"/>
        <w:rPr>
          <w:b/>
          <w:bCs/>
          <w:color w:val="215E99" w:themeColor="text2" w:themeTint="BF"/>
          <w:sz w:val="32"/>
          <w:szCs w:val="32"/>
        </w:rPr>
      </w:pPr>
      <w:r w:rsidRPr="004C17A4">
        <w:rPr>
          <w:b/>
          <w:bCs/>
          <w:color w:val="215E99" w:themeColor="text2" w:themeTint="BF"/>
          <w:sz w:val="32"/>
          <w:szCs w:val="32"/>
        </w:rPr>
        <w:t>Degree Apprenticeships Internal Quality Reviews</w:t>
      </w:r>
    </w:p>
    <w:p w14:paraId="4B1DFDFC" w14:textId="14BB7847" w:rsidR="006133FC" w:rsidRPr="004C17A4" w:rsidRDefault="006133FC" w:rsidP="0021269A">
      <w:pPr>
        <w:spacing w:after="0" w:line="240" w:lineRule="auto"/>
        <w:rPr>
          <w:b/>
          <w:bCs/>
          <w:color w:val="215E99" w:themeColor="text2" w:themeTint="BF"/>
          <w:sz w:val="32"/>
          <w:szCs w:val="32"/>
        </w:rPr>
      </w:pPr>
      <w:r>
        <w:rPr>
          <w:b/>
          <w:bCs/>
          <w:color w:val="215E99" w:themeColor="text2" w:themeTint="BF"/>
          <w:sz w:val="32"/>
          <w:szCs w:val="32"/>
        </w:rPr>
        <w:t>IQR Report</w:t>
      </w:r>
    </w:p>
    <w:p w14:paraId="03E52AD9" w14:textId="77777777" w:rsidR="00CA52EE" w:rsidRDefault="00CA52EE" w:rsidP="0021269A">
      <w:pPr>
        <w:spacing w:after="0" w:line="240" w:lineRule="auto"/>
      </w:pPr>
    </w:p>
    <w:tbl>
      <w:tblPr>
        <w:tblStyle w:val="TableGrid"/>
        <w:tblW w:w="0" w:type="auto"/>
        <w:tblLook w:val="04A0" w:firstRow="1" w:lastRow="0" w:firstColumn="1" w:lastColumn="0" w:noHBand="0" w:noVBand="1"/>
      </w:tblPr>
      <w:tblGrid>
        <w:gridCol w:w="2405"/>
        <w:gridCol w:w="6945"/>
      </w:tblGrid>
      <w:tr w:rsidR="00575D2B" w14:paraId="73FDAB96" w14:textId="77777777" w:rsidTr="00783201">
        <w:tc>
          <w:tcPr>
            <w:tcW w:w="2405" w:type="dxa"/>
            <w:shd w:val="clear" w:color="auto" w:fill="215E99" w:themeFill="text2" w:themeFillTint="BF"/>
          </w:tcPr>
          <w:p w14:paraId="78AD7359" w14:textId="634C60F7" w:rsidR="00575D2B" w:rsidRPr="006133FC" w:rsidRDefault="00575D2B" w:rsidP="0021269A">
            <w:pPr>
              <w:rPr>
                <w:b/>
                <w:bCs/>
                <w:color w:val="FFFFFF" w:themeColor="background1"/>
              </w:rPr>
            </w:pPr>
            <w:r w:rsidRPr="006133FC">
              <w:rPr>
                <w:b/>
                <w:bCs/>
                <w:color w:val="FFFFFF" w:themeColor="background1"/>
              </w:rPr>
              <w:t>Programme Title</w:t>
            </w:r>
          </w:p>
        </w:tc>
        <w:tc>
          <w:tcPr>
            <w:tcW w:w="6945" w:type="dxa"/>
          </w:tcPr>
          <w:p w14:paraId="312F05C9" w14:textId="77777777" w:rsidR="00575D2B" w:rsidRDefault="00575D2B" w:rsidP="0021269A"/>
        </w:tc>
      </w:tr>
      <w:tr w:rsidR="00575D2B" w14:paraId="5BC13AB8" w14:textId="77777777" w:rsidTr="00783201">
        <w:tc>
          <w:tcPr>
            <w:tcW w:w="2405" w:type="dxa"/>
            <w:shd w:val="clear" w:color="auto" w:fill="215E99" w:themeFill="text2" w:themeFillTint="BF"/>
          </w:tcPr>
          <w:p w14:paraId="65AC82D7" w14:textId="0430D6C0" w:rsidR="00575D2B" w:rsidRPr="006133FC" w:rsidRDefault="00575D2B" w:rsidP="0021269A">
            <w:pPr>
              <w:rPr>
                <w:b/>
                <w:bCs/>
                <w:color w:val="FFFFFF" w:themeColor="background1"/>
              </w:rPr>
            </w:pPr>
            <w:r>
              <w:rPr>
                <w:b/>
                <w:bCs/>
                <w:color w:val="FFFFFF" w:themeColor="background1"/>
              </w:rPr>
              <w:t>Date</w:t>
            </w:r>
            <w:r w:rsidRPr="006133FC">
              <w:rPr>
                <w:b/>
                <w:bCs/>
                <w:color w:val="FFFFFF" w:themeColor="background1"/>
              </w:rPr>
              <w:t xml:space="preserve"> of IQR</w:t>
            </w:r>
          </w:p>
        </w:tc>
        <w:tc>
          <w:tcPr>
            <w:tcW w:w="6945" w:type="dxa"/>
          </w:tcPr>
          <w:p w14:paraId="26245AEF" w14:textId="77777777" w:rsidR="00575D2B" w:rsidRDefault="00575D2B" w:rsidP="0021269A"/>
        </w:tc>
      </w:tr>
    </w:tbl>
    <w:p w14:paraId="751C4167" w14:textId="77777777" w:rsidR="00575D2B" w:rsidRDefault="00575D2B" w:rsidP="0021269A">
      <w:pPr>
        <w:spacing w:after="0" w:line="240" w:lineRule="auto"/>
      </w:pPr>
    </w:p>
    <w:tbl>
      <w:tblPr>
        <w:tblStyle w:val="TableGrid"/>
        <w:tblW w:w="0" w:type="auto"/>
        <w:tblLook w:val="04A0" w:firstRow="1" w:lastRow="0" w:firstColumn="1" w:lastColumn="0" w:noHBand="0" w:noVBand="1"/>
      </w:tblPr>
      <w:tblGrid>
        <w:gridCol w:w="2405"/>
        <w:gridCol w:w="6945"/>
      </w:tblGrid>
      <w:tr w:rsidR="00575D2B" w14:paraId="336CEF12" w14:textId="77777777" w:rsidTr="00783201">
        <w:tc>
          <w:tcPr>
            <w:tcW w:w="2405" w:type="dxa"/>
            <w:shd w:val="clear" w:color="auto" w:fill="215E99" w:themeFill="text2" w:themeFillTint="BF"/>
          </w:tcPr>
          <w:p w14:paraId="1EF69204" w14:textId="10481440" w:rsidR="00575D2B" w:rsidRPr="006133FC" w:rsidRDefault="00575D2B" w:rsidP="0021269A">
            <w:pPr>
              <w:rPr>
                <w:b/>
                <w:bCs/>
                <w:color w:val="FFFFFF" w:themeColor="background1"/>
              </w:rPr>
            </w:pPr>
            <w:r>
              <w:rPr>
                <w:b/>
                <w:bCs/>
                <w:color w:val="FFFFFF" w:themeColor="background1"/>
              </w:rPr>
              <w:t>Panel Chair</w:t>
            </w:r>
          </w:p>
        </w:tc>
        <w:tc>
          <w:tcPr>
            <w:tcW w:w="6945" w:type="dxa"/>
          </w:tcPr>
          <w:p w14:paraId="744C6FE1" w14:textId="77777777" w:rsidR="00575D2B" w:rsidRDefault="00575D2B" w:rsidP="0021269A"/>
        </w:tc>
      </w:tr>
      <w:tr w:rsidR="002F1B96" w14:paraId="7B267DBB" w14:textId="77777777" w:rsidTr="00783201">
        <w:tc>
          <w:tcPr>
            <w:tcW w:w="2405" w:type="dxa"/>
            <w:shd w:val="clear" w:color="auto" w:fill="215E99" w:themeFill="text2" w:themeFillTint="BF"/>
          </w:tcPr>
          <w:p w14:paraId="6ABA4394" w14:textId="0E8E2374" w:rsidR="002F1B96" w:rsidRDefault="002F1B96" w:rsidP="0021269A">
            <w:pPr>
              <w:rPr>
                <w:b/>
                <w:bCs/>
                <w:color w:val="FFFFFF" w:themeColor="background1"/>
              </w:rPr>
            </w:pPr>
            <w:r>
              <w:rPr>
                <w:b/>
                <w:bCs/>
                <w:color w:val="FFFFFF" w:themeColor="background1"/>
              </w:rPr>
              <w:t>Panel members</w:t>
            </w:r>
          </w:p>
        </w:tc>
        <w:tc>
          <w:tcPr>
            <w:tcW w:w="6945" w:type="dxa"/>
          </w:tcPr>
          <w:p w14:paraId="261C2561" w14:textId="77777777" w:rsidR="002F1B96" w:rsidRDefault="002F1B96" w:rsidP="0021269A"/>
          <w:p w14:paraId="515E691D" w14:textId="77777777" w:rsidR="00981E24" w:rsidRDefault="00981E24" w:rsidP="0021269A"/>
          <w:p w14:paraId="06BF7CE1" w14:textId="77777777" w:rsidR="00981E24" w:rsidRDefault="00981E24" w:rsidP="0021269A"/>
        </w:tc>
      </w:tr>
      <w:tr w:rsidR="00981E24" w14:paraId="4A78E61A" w14:textId="77777777" w:rsidTr="00783201">
        <w:tc>
          <w:tcPr>
            <w:tcW w:w="2405" w:type="dxa"/>
            <w:shd w:val="clear" w:color="auto" w:fill="215E99" w:themeFill="text2" w:themeFillTint="BF"/>
          </w:tcPr>
          <w:p w14:paraId="22444177" w14:textId="01F2B56D" w:rsidR="00981E24" w:rsidRDefault="00981E24" w:rsidP="0021269A">
            <w:pPr>
              <w:rPr>
                <w:b/>
                <w:bCs/>
                <w:color w:val="FFFFFF" w:themeColor="background1"/>
              </w:rPr>
            </w:pPr>
            <w:r>
              <w:rPr>
                <w:b/>
                <w:bCs/>
                <w:color w:val="FFFFFF" w:themeColor="background1"/>
              </w:rPr>
              <w:t>Secretary</w:t>
            </w:r>
          </w:p>
        </w:tc>
        <w:tc>
          <w:tcPr>
            <w:tcW w:w="6945" w:type="dxa"/>
          </w:tcPr>
          <w:p w14:paraId="2F90361E" w14:textId="77777777" w:rsidR="00981E24" w:rsidRDefault="00981E24" w:rsidP="0021269A"/>
        </w:tc>
      </w:tr>
    </w:tbl>
    <w:p w14:paraId="330A9E6D" w14:textId="32663C17" w:rsidR="00364036" w:rsidRDefault="00364036" w:rsidP="0021269A">
      <w:pPr>
        <w:spacing w:after="0" w:line="240" w:lineRule="auto"/>
      </w:pPr>
    </w:p>
    <w:tbl>
      <w:tblPr>
        <w:tblStyle w:val="TableGrid"/>
        <w:tblW w:w="0" w:type="auto"/>
        <w:tblLook w:val="04A0" w:firstRow="1" w:lastRow="0" w:firstColumn="1" w:lastColumn="0" w:noHBand="0" w:noVBand="1"/>
      </w:tblPr>
      <w:tblGrid>
        <w:gridCol w:w="9350"/>
      </w:tblGrid>
      <w:tr w:rsidR="0021269A" w:rsidRPr="006133FC" w14:paraId="3EE4335D" w14:textId="77777777" w:rsidTr="00783201">
        <w:tc>
          <w:tcPr>
            <w:tcW w:w="9350" w:type="dxa"/>
            <w:shd w:val="clear" w:color="auto" w:fill="215E99" w:themeFill="text2" w:themeFillTint="BF"/>
          </w:tcPr>
          <w:p w14:paraId="4C06E0A0" w14:textId="128FB19D" w:rsidR="0021269A" w:rsidRPr="00F27DD6" w:rsidRDefault="00F27DD6" w:rsidP="0021269A">
            <w:pPr>
              <w:rPr>
                <w:b/>
                <w:bCs/>
                <w:color w:val="FFFFFF" w:themeColor="background1"/>
              </w:rPr>
            </w:pPr>
            <w:r w:rsidRPr="00F27DD6">
              <w:rPr>
                <w:b/>
                <w:bCs/>
                <w:color w:val="FFFFFF" w:themeColor="background1"/>
              </w:rPr>
              <w:t>Overview of programme</w:t>
            </w:r>
          </w:p>
        </w:tc>
      </w:tr>
      <w:tr w:rsidR="0021269A" w14:paraId="577465AE" w14:textId="77777777" w:rsidTr="00783201">
        <w:trPr>
          <w:trHeight w:val="2835"/>
        </w:trPr>
        <w:tc>
          <w:tcPr>
            <w:tcW w:w="9350" w:type="dxa"/>
          </w:tcPr>
          <w:p w14:paraId="53935D70" w14:textId="07C290B0" w:rsidR="0021269A" w:rsidRDefault="001146EF" w:rsidP="0021269A">
            <w:r>
              <w:t xml:space="preserve">Background to programme and </w:t>
            </w:r>
            <w:r w:rsidR="0070480A">
              <w:t xml:space="preserve">current </w:t>
            </w:r>
            <w:r w:rsidR="001B7817">
              <w:t>size and shape</w:t>
            </w:r>
          </w:p>
        </w:tc>
      </w:tr>
    </w:tbl>
    <w:p w14:paraId="4D94B5E3" w14:textId="77777777" w:rsidR="0021269A" w:rsidRDefault="0021269A" w:rsidP="0021269A">
      <w:pPr>
        <w:spacing w:after="0" w:line="240" w:lineRule="auto"/>
      </w:pPr>
    </w:p>
    <w:tbl>
      <w:tblPr>
        <w:tblStyle w:val="TableGrid"/>
        <w:tblW w:w="0" w:type="auto"/>
        <w:tblLook w:val="04A0" w:firstRow="1" w:lastRow="0" w:firstColumn="1" w:lastColumn="0" w:noHBand="0" w:noVBand="1"/>
      </w:tblPr>
      <w:tblGrid>
        <w:gridCol w:w="9350"/>
      </w:tblGrid>
      <w:tr w:rsidR="001B7817" w:rsidRPr="006133FC" w14:paraId="30146BA6" w14:textId="77777777" w:rsidTr="00783201">
        <w:tc>
          <w:tcPr>
            <w:tcW w:w="9350" w:type="dxa"/>
            <w:shd w:val="clear" w:color="auto" w:fill="215E99" w:themeFill="text2" w:themeFillTint="BF"/>
          </w:tcPr>
          <w:p w14:paraId="1E800389" w14:textId="29E4BFEE" w:rsidR="001B7817" w:rsidRPr="00F27DD6" w:rsidRDefault="0074525B" w:rsidP="00783201">
            <w:pPr>
              <w:rPr>
                <w:b/>
                <w:bCs/>
                <w:color w:val="FFFFFF" w:themeColor="background1"/>
              </w:rPr>
            </w:pPr>
            <w:r>
              <w:rPr>
                <w:b/>
                <w:bCs/>
                <w:color w:val="FFFFFF" w:themeColor="background1"/>
              </w:rPr>
              <w:t>Reflection o</w:t>
            </w:r>
            <w:r w:rsidR="00D07A7A">
              <w:rPr>
                <w:b/>
                <w:bCs/>
                <w:color w:val="FFFFFF" w:themeColor="background1"/>
              </w:rPr>
              <w:t xml:space="preserve">n year </w:t>
            </w:r>
          </w:p>
        </w:tc>
      </w:tr>
      <w:tr w:rsidR="001B7817" w14:paraId="35C0DC46" w14:textId="77777777" w:rsidTr="00783201">
        <w:trPr>
          <w:trHeight w:val="2835"/>
        </w:trPr>
        <w:tc>
          <w:tcPr>
            <w:tcW w:w="9350" w:type="dxa"/>
          </w:tcPr>
          <w:p w14:paraId="1A7280B8" w14:textId="55A157F5" w:rsidR="001B7817" w:rsidRDefault="00785D39" w:rsidP="00783201">
            <w:r>
              <w:t xml:space="preserve">Narrative on progress from the </w:t>
            </w:r>
            <w:r w:rsidR="00F628AE">
              <w:t>previous IQR</w:t>
            </w:r>
            <w:r w:rsidR="00525E4A">
              <w:t xml:space="preserve"> </w:t>
            </w:r>
            <w:r w:rsidR="00D84143">
              <w:t xml:space="preserve">and a reflection on the </w:t>
            </w:r>
            <w:r w:rsidR="00F617B5">
              <w:t xml:space="preserve">Programme </w:t>
            </w:r>
            <w:r w:rsidR="00D84143">
              <w:t>SAR</w:t>
            </w:r>
            <w:r w:rsidR="00293AE8">
              <w:t xml:space="preserve"> and QIP</w:t>
            </w:r>
          </w:p>
        </w:tc>
      </w:tr>
    </w:tbl>
    <w:p w14:paraId="492B559B" w14:textId="77777777" w:rsidR="001B7817" w:rsidRDefault="001B7817" w:rsidP="0021269A">
      <w:pPr>
        <w:spacing w:after="0" w:line="240" w:lineRule="auto"/>
      </w:pPr>
    </w:p>
    <w:p w14:paraId="69645F99" w14:textId="77777777" w:rsidR="00451619" w:rsidRDefault="00451619" w:rsidP="0021269A">
      <w:pPr>
        <w:spacing w:after="0" w:line="240" w:lineRule="auto"/>
      </w:pPr>
    </w:p>
    <w:p w14:paraId="06B6A7F0" w14:textId="77777777" w:rsidR="00451619" w:rsidRDefault="00451619" w:rsidP="0021269A">
      <w:pPr>
        <w:spacing w:after="0" w:line="240" w:lineRule="auto"/>
      </w:pPr>
    </w:p>
    <w:p w14:paraId="6CC9EC2B" w14:textId="77777777" w:rsidR="00451619" w:rsidRDefault="00451619" w:rsidP="0021269A">
      <w:pPr>
        <w:spacing w:after="0" w:line="240" w:lineRule="auto"/>
      </w:pPr>
    </w:p>
    <w:p w14:paraId="647B5866" w14:textId="77777777" w:rsidR="00451619" w:rsidRDefault="00451619" w:rsidP="0021269A">
      <w:pPr>
        <w:spacing w:after="0" w:line="240" w:lineRule="auto"/>
      </w:pPr>
    </w:p>
    <w:p w14:paraId="41E40B17" w14:textId="77777777" w:rsidR="00451619" w:rsidRDefault="00451619" w:rsidP="0021269A">
      <w:pPr>
        <w:spacing w:after="0" w:line="240" w:lineRule="auto"/>
      </w:pPr>
    </w:p>
    <w:p w14:paraId="2A22BB70" w14:textId="77777777" w:rsidR="00451619" w:rsidRDefault="00451619" w:rsidP="0021269A">
      <w:pPr>
        <w:spacing w:after="0" w:line="240" w:lineRule="auto"/>
      </w:pPr>
    </w:p>
    <w:tbl>
      <w:tblPr>
        <w:tblStyle w:val="TableGrid"/>
        <w:tblW w:w="0" w:type="auto"/>
        <w:tblLook w:val="04A0" w:firstRow="1" w:lastRow="0" w:firstColumn="1" w:lastColumn="0" w:noHBand="0" w:noVBand="1"/>
      </w:tblPr>
      <w:tblGrid>
        <w:gridCol w:w="9350"/>
      </w:tblGrid>
      <w:tr w:rsidR="00293AE8" w:rsidRPr="006133FC" w14:paraId="4DBD5D6F" w14:textId="77777777" w:rsidTr="00783201">
        <w:tc>
          <w:tcPr>
            <w:tcW w:w="9350" w:type="dxa"/>
            <w:shd w:val="clear" w:color="auto" w:fill="215E99" w:themeFill="text2" w:themeFillTint="BF"/>
          </w:tcPr>
          <w:p w14:paraId="37A84720" w14:textId="2C8ADB0D" w:rsidR="00293AE8" w:rsidRPr="00F27DD6" w:rsidRDefault="009373BF" w:rsidP="00783201">
            <w:pPr>
              <w:rPr>
                <w:b/>
                <w:bCs/>
                <w:color w:val="FFFFFF" w:themeColor="background1"/>
              </w:rPr>
            </w:pPr>
            <w:r>
              <w:rPr>
                <w:b/>
                <w:bCs/>
                <w:color w:val="FFFFFF" w:themeColor="background1"/>
              </w:rPr>
              <w:lastRenderedPageBreak/>
              <w:t>Key strengths</w:t>
            </w:r>
          </w:p>
        </w:tc>
      </w:tr>
      <w:tr w:rsidR="00293AE8" w14:paraId="0D85A515" w14:textId="77777777" w:rsidTr="00783201">
        <w:trPr>
          <w:trHeight w:val="2835"/>
        </w:trPr>
        <w:tc>
          <w:tcPr>
            <w:tcW w:w="9350" w:type="dxa"/>
          </w:tcPr>
          <w:p w14:paraId="74B637C0" w14:textId="6BFC6351" w:rsidR="00293AE8" w:rsidRDefault="00492FA1" w:rsidP="00783201">
            <w:r>
              <w:t xml:space="preserve">Positive areas </w:t>
            </w:r>
            <w:r w:rsidR="006F0D9A">
              <w:t>identified in perform</w:t>
            </w:r>
            <w:r w:rsidR="00451619">
              <w:t>ance and development of the programme</w:t>
            </w:r>
          </w:p>
        </w:tc>
      </w:tr>
    </w:tbl>
    <w:p w14:paraId="5B7F2481" w14:textId="77777777" w:rsidR="00293AE8" w:rsidRDefault="00293AE8" w:rsidP="0021269A">
      <w:pPr>
        <w:spacing w:after="0" w:line="240" w:lineRule="auto"/>
      </w:pPr>
    </w:p>
    <w:tbl>
      <w:tblPr>
        <w:tblStyle w:val="TableGrid"/>
        <w:tblW w:w="0" w:type="auto"/>
        <w:tblLook w:val="04A0" w:firstRow="1" w:lastRow="0" w:firstColumn="1" w:lastColumn="0" w:noHBand="0" w:noVBand="1"/>
      </w:tblPr>
      <w:tblGrid>
        <w:gridCol w:w="9350"/>
      </w:tblGrid>
      <w:tr w:rsidR="00451619" w:rsidRPr="006133FC" w14:paraId="57E2A92B" w14:textId="77777777" w:rsidTr="00783201">
        <w:tc>
          <w:tcPr>
            <w:tcW w:w="9350" w:type="dxa"/>
            <w:shd w:val="clear" w:color="auto" w:fill="215E99" w:themeFill="text2" w:themeFillTint="BF"/>
          </w:tcPr>
          <w:p w14:paraId="750B91BB" w14:textId="7C7443DE" w:rsidR="00451619" w:rsidRPr="00F27DD6" w:rsidRDefault="009A6CA8" w:rsidP="00783201">
            <w:pPr>
              <w:rPr>
                <w:b/>
                <w:bCs/>
                <w:color w:val="FFFFFF" w:themeColor="background1"/>
              </w:rPr>
            </w:pPr>
            <w:r>
              <w:rPr>
                <w:b/>
                <w:bCs/>
                <w:color w:val="FFFFFF" w:themeColor="background1"/>
              </w:rPr>
              <w:t>Areas for development</w:t>
            </w:r>
          </w:p>
        </w:tc>
      </w:tr>
      <w:tr w:rsidR="00451619" w14:paraId="40A1C6A3" w14:textId="77777777" w:rsidTr="00783201">
        <w:trPr>
          <w:trHeight w:val="2835"/>
        </w:trPr>
        <w:tc>
          <w:tcPr>
            <w:tcW w:w="9350" w:type="dxa"/>
          </w:tcPr>
          <w:p w14:paraId="2D80C8BD" w14:textId="256D1F55" w:rsidR="00451619" w:rsidRDefault="009A6CA8" w:rsidP="00783201">
            <w:r>
              <w:t>A</w:t>
            </w:r>
            <w:r w:rsidR="00451619">
              <w:t xml:space="preserve">reas identified </w:t>
            </w:r>
            <w:r>
              <w:t xml:space="preserve">requiring </w:t>
            </w:r>
            <w:r w:rsidR="00D21818">
              <w:t xml:space="preserve">development, </w:t>
            </w:r>
            <w:r w:rsidR="00FD7AA3">
              <w:t xml:space="preserve">identified by the IQR Panel and/or </w:t>
            </w:r>
            <w:r w:rsidR="00F617B5">
              <w:t>the Programme Team</w:t>
            </w:r>
          </w:p>
        </w:tc>
      </w:tr>
    </w:tbl>
    <w:p w14:paraId="18DD18C2" w14:textId="77777777" w:rsidR="00451619" w:rsidRDefault="00451619" w:rsidP="0021269A">
      <w:pPr>
        <w:spacing w:after="0" w:line="240" w:lineRule="auto"/>
      </w:pPr>
    </w:p>
    <w:tbl>
      <w:tblPr>
        <w:tblStyle w:val="TableGrid"/>
        <w:tblW w:w="0" w:type="auto"/>
        <w:tblLook w:val="04A0" w:firstRow="1" w:lastRow="0" w:firstColumn="1" w:lastColumn="0" w:noHBand="0" w:noVBand="1"/>
      </w:tblPr>
      <w:tblGrid>
        <w:gridCol w:w="9350"/>
      </w:tblGrid>
      <w:tr w:rsidR="00A33B33" w:rsidRPr="006133FC" w14:paraId="38B399E2" w14:textId="77777777" w:rsidTr="00783201">
        <w:tc>
          <w:tcPr>
            <w:tcW w:w="9350" w:type="dxa"/>
            <w:shd w:val="clear" w:color="auto" w:fill="215E99" w:themeFill="text2" w:themeFillTint="BF"/>
          </w:tcPr>
          <w:p w14:paraId="4C9985EC" w14:textId="717457A1" w:rsidR="00A33B33" w:rsidRPr="00F27DD6" w:rsidRDefault="00A33B33" w:rsidP="00783201">
            <w:pPr>
              <w:rPr>
                <w:b/>
                <w:bCs/>
                <w:color w:val="FFFFFF" w:themeColor="background1"/>
              </w:rPr>
            </w:pPr>
            <w:r>
              <w:rPr>
                <w:b/>
                <w:bCs/>
                <w:color w:val="FFFFFF" w:themeColor="background1"/>
              </w:rPr>
              <w:t>Conclusions and recommen</w:t>
            </w:r>
            <w:r w:rsidR="00AA4832">
              <w:rPr>
                <w:b/>
                <w:bCs/>
                <w:color w:val="FFFFFF" w:themeColor="background1"/>
              </w:rPr>
              <w:t>dations</w:t>
            </w:r>
          </w:p>
        </w:tc>
      </w:tr>
      <w:tr w:rsidR="00A33B33" w14:paraId="2CD5DC09" w14:textId="77777777" w:rsidTr="00783201">
        <w:trPr>
          <w:trHeight w:val="2835"/>
        </w:trPr>
        <w:tc>
          <w:tcPr>
            <w:tcW w:w="9350" w:type="dxa"/>
          </w:tcPr>
          <w:p w14:paraId="5D234333" w14:textId="505D8BAE" w:rsidR="00A33B33" w:rsidRDefault="00AA4832" w:rsidP="00783201">
            <w:r>
              <w:t xml:space="preserve">Summary of the report and guidance on showcasing key strengths </w:t>
            </w:r>
            <w:r w:rsidR="009B5451">
              <w:t xml:space="preserve">and </w:t>
            </w:r>
            <w:r w:rsidR="00437E77">
              <w:t xml:space="preserve">support </w:t>
            </w:r>
            <w:r w:rsidR="00783201">
              <w:t>for areas of development</w:t>
            </w:r>
          </w:p>
        </w:tc>
      </w:tr>
    </w:tbl>
    <w:p w14:paraId="1D57CE7E" w14:textId="77777777" w:rsidR="00A33B33" w:rsidRDefault="00A33B33" w:rsidP="0021269A">
      <w:pPr>
        <w:spacing w:after="0" w:line="240" w:lineRule="auto"/>
      </w:pPr>
    </w:p>
    <w:sectPr w:rsidR="00A3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DE0"/>
      </v:shape>
    </w:pict>
  </w:numPicBullet>
  <w:abstractNum w:abstractNumId="0" w15:restartNumberingAfterBreak="0">
    <w:nsid w:val="008A52F7"/>
    <w:multiLevelType w:val="hybridMultilevel"/>
    <w:tmpl w:val="4AE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0674"/>
    <w:multiLevelType w:val="hybridMultilevel"/>
    <w:tmpl w:val="866E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20D38"/>
    <w:multiLevelType w:val="hybridMultilevel"/>
    <w:tmpl w:val="B1E2A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9F50DC"/>
    <w:multiLevelType w:val="hybridMultilevel"/>
    <w:tmpl w:val="D0666BEA"/>
    <w:lvl w:ilvl="0" w:tplc="5D96C2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57E24"/>
    <w:multiLevelType w:val="hybridMultilevel"/>
    <w:tmpl w:val="9946AA64"/>
    <w:lvl w:ilvl="0" w:tplc="AAD075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44BDB"/>
    <w:multiLevelType w:val="hybridMultilevel"/>
    <w:tmpl w:val="5BD67E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11901"/>
    <w:multiLevelType w:val="multilevel"/>
    <w:tmpl w:val="DB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4325"/>
    <w:multiLevelType w:val="hybridMultilevel"/>
    <w:tmpl w:val="26C6E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0793A"/>
    <w:multiLevelType w:val="hybridMultilevel"/>
    <w:tmpl w:val="DE727B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466FEB"/>
    <w:multiLevelType w:val="hybridMultilevel"/>
    <w:tmpl w:val="EA600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55D01"/>
    <w:multiLevelType w:val="hybridMultilevel"/>
    <w:tmpl w:val="9506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45434"/>
    <w:multiLevelType w:val="hybridMultilevel"/>
    <w:tmpl w:val="38CA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43C1B"/>
    <w:multiLevelType w:val="hybridMultilevel"/>
    <w:tmpl w:val="4D9E39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123EA"/>
    <w:multiLevelType w:val="hybridMultilevel"/>
    <w:tmpl w:val="0ADAC2CA"/>
    <w:lvl w:ilvl="0" w:tplc="5180EC8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C10EA"/>
    <w:multiLevelType w:val="multilevel"/>
    <w:tmpl w:val="4D4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86351B"/>
    <w:multiLevelType w:val="hybridMultilevel"/>
    <w:tmpl w:val="2DB6F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80528"/>
    <w:multiLevelType w:val="multilevel"/>
    <w:tmpl w:val="DA4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FA753D"/>
    <w:multiLevelType w:val="hybridMultilevel"/>
    <w:tmpl w:val="FA90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72036"/>
    <w:multiLevelType w:val="multilevel"/>
    <w:tmpl w:val="DC4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F916C4"/>
    <w:multiLevelType w:val="hybridMultilevel"/>
    <w:tmpl w:val="1A545276"/>
    <w:lvl w:ilvl="0" w:tplc="6304FD8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6467FB"/>
    <w:multiLevelType w:val="hybridMultilevel"/>
    <w:tmpl w:val="99E426BA"/>
    <w:lvl w:ilvl="0" w:tplc="89CCF35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6A4F0F"/>
    <w:multiLevelType w:val="hybridMultilevel"/>
    <w:tmpl w:val="D2C46614"/>
    <w:lvl w:ilvl="0" w:tplc="790E76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95009D"/>
    <w:multiLevelType w:val="hybridMultilevel"/>
    <w:tmpl w:val="FA40F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54C9F"/>
    <w:multiLevelType w:val="hybridMultilevel"/>
    <w:tmpl w:val="77406DB6"/>
    <w:lvl w:ilvl="0" w:tplc="6A92026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E72B1"/>
    <w:multiLevelType w:val="hybridMultilevel"/>
    <w:tmpl w:val="7BB2F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9E20FF"/>
    <w:multiLevelType w:val="multilevel"/>
    <w:tmpl w:val="3E5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977009"/>
    <w:multiLevelType w:val="multilevel"/>
    <w:tmpl w:val="AFB4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67E89"/>
    <w:multiLevelType w:val="hybridMultilevel"/>
    <w:tmpl w:val="98128AE8"/>
    <w:lvl w:ilvl="0" w:tplc="AAD075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9E0EFD"/>
    <w:multiLevelType w:val="multilevel"/>
    <w:tmpl w:val="573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E557AF"/>
    <w:multiLevelType w:val="multilevel"/>
    <w:tmpl w:val="2D1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835DD4"/>
    <w:multiLevelType w:val="multilevel"/>
    <w:tmpl w:val="933C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D066C0"/>
    <w:multiLevelType w:val="hybridMultilevel"/>
    <w:tmpl w:val="FDBE0A64"/>
    <w:lvl w:ilvl="0" w:tplc="AAD075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0530049">
    <w:abstractNumId w:val="22"/>
  </w:num>
  <w:num w:numId="2" w16cid:durableId="126779304">
    <w:abstractNumId w:val="10"/>
  </w:num>
  <w:num w:numId="3" w16cid:durableId="792331745">
    <w:abstractNumId w:val="9"/>
  </w:num>
  <w:num w:numId="4" w16cid:durableId="989216435">
    <w:abstractNumId w:val="4"/>
  </w:num>
  <w:num w:numId="5" w16cid:durableId="987367603">
    <w:abstractNumId w:val="24"/>
  </w:num>
  <w:num w:numId="6" w16cid:durableId="737632521">
    <w:abstractNumId w:val="27"/>
  </w:num>
  <w:num w:numId="7" w16cid:durableId="688794709">
    <w:abstractNumId w:val="31"/>
  </w:num>
  <w:num w:numId="8" w16cid:durableId="1814643243">
    <w:abstractNumId w:val="12"/>
  </w:num>
  <w:num w:numId="9" w16cid:durableId="1662347168">
    <w:abstractNumId w:val="15"/>
  </w:num>
  <w:num w:numId="10" w16cid:durableId="134105893">
    <w:abstractNumId w:val="5"/>
  </w:num>
  <w:num w:numId="11" w16cid:durableId="2023967619">
    <w:abstractNumId w:val="11"/>
  </w:num>
  <w:num w:numId="12" w16cid:durableId="1566448587">
    <w:abstractNumId w:val="0"/>
  </w:num>
  <w:num w:numId="13" w16cid:durableId="1736587367">
    <w:abstractNumId w:val="1"/>
  </w:num>
  <w:num w:numId="14" w16cid:durableId="715159978">
    <w:abstractNumId w:val="17"/>
  </w:num>
  <w:num w:numId="15" w16cid:durableId="1749644262">
    <w:abstractNumId w:val="25"/>
  </w:num>
  <w:num w:numId="16" w16cid:durableId="1079905818">
    <w:abstractNumId w:val="26"/>
  </w:num>
  <w:num w:numId="17" w16cid:durableId="1580629277">
    <w:abstractNumId w:val="16"/>
  </w:num>
  <w:num w:numId="18" w16cid:durableId="1475371992">
    <w:abstractNumId w:val="14"/>
  </w:num>
  <w:num w:numId="19" w16cid:durableId="1169519293">
    <w:abstractNumId w:val="18"/>
  </w:num>
  <w:num w:numId="20" w16cid:durableId="1468400082">
    <w:abstractNumId w:val="30"/>
  </w:num>
  <w:num w:numId="21" w16cid:durableId="1171332129">
    <w:abstractNumId w:val="29"/>
  </w:num>
  <w:num w:numId="22" w16cid:durableId="1085762909">
    <w:abstractNumId w:val="6"/>
  </w:num>
  <w:num w:numId="23" w16cid:durableId="1032919467">
    <w:abstractNumId w:val="28"/>
  </w:num>
  <w:num w:numId="24" w16cid:durableId="2046514589">
    <w:abstractNumId w:val="13"/>
  </w:num>
  <w:num w:numId="25" w16cid:durableId="871764824">
    <w:abstractNumId w:val="19"/>
  </w:num>
  <w:num w:numId="26" w16cid:durableId="975183206">
    <w:abstractNumId w:val="3"/>
  </w:num>
  <w:num w:numId="27" w16cid:durableId="2017229084">
    <w:abstractNumId w:val="2"/>
  </w:num>
  <w:num w:numId="28" w16cid:durableId="460421987">
    <w:abstractNumId w:val="23"/>
  </w:num>
  <w:num w:numId="29" w16cid:durableId="1104568511">
    <w:abstractNumId w:val="21"/>
  </w:num>
  <w:num w:numId="30" w16cid:durableId="296109501">
    <w:abstractNumId w:val="7"/>
  </w:num>
  <w:num w:numId="31" w16cid:durableId="885794423">
    <w:abstractNumId w:val="20"/>
  </w:num>
  <w:num w:numId="32" w16cid:durableId="1187601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FDBC6"/>
    <w:rsid w:val="00002BD5"/>
    <w:rsid w:val="000125E0"/>
    <w:rsid w:val="00020F87"/>
    <w:rsid w:val="00024914"/>
    <w:rsid w:val="00024D31"/>
    <w:rsid w:val="000301B6"/>
    <w:rsid w:val="00030F94"/>
    <w:rsid w:val="00031474"/>
    <w:rsid w:val="000326E3"/>
    <w:rsid w:val="000458E0"/>
    <w:rsid w:val="00056BC6"/>
    <w:rsid w:val="00061A82"/>
    <w:rsid w:val="00067EAD"/>
    <w:rsid w:val="00072A89"/>
    <w:rsid w:val="000762BE"/>
    <w:rsid w:val="000836FC"/>
    <w:rsid w:val="00083BE0"/>
    <w:rsid w:val="00085D29"/>
    <w:rsid w:val="00095578"/>
    <w:rsid w:val="000A457F"/>
    <w:rsid w:val="000D4FFB"/>
    <w:rsid w:val="000E31A1"/>
    <w:rsid w:val="000F57DC"/>
    <w:rsid w:val="000F769A"/>
    <w:rsid w:val="000F79EE"/>
    <w:rsid w:val="00106442"/>
    <w:rsid w:val="001146EF"/>
    <w:rsid w:val="0012417E"/>
    <w:rsid w:val="00126815"/>
    <w:rsid w:val="00127F68"/>
    <w:rsid w:val="00144305"/>
    <w:rsid w:val="00145BF2"/>
    <w:rsid w:val="00151621"/>
    <w:rsid w:val="00153250"/>
    <w:rsid w:val="00167AEB"/>
    <w:rsid w:val="00174DFE"/>
    <w:rsid w:val="001764A3"/>
    <w:rsid w:val="001831BF"/>
    <w:rsid w:val="00184E73"/>
    <w:rsid w:val="00196FBB"/>
    <w:rsid w:val="001B6868"/>
    <w:rsid w:val="001B7817"/>
    <w:rsid w:val="001C38BC"/>
    <w:rsid w:val="001C4F1B"/>
    <w:rsid w:val="001C5FA7"/>
    <w:rsid w:val="001D0817"/>
    <w:rsid w:val="001D1F2F"/>
    <w:rsid w:val="001D4037"/>
    <w:rsid w:val="001E6311"/>
    <w:rsid w:val="0021269A"/>
    <w:rsid w:val="002232B8"/>
    <w:rsid w:val="002304F1"/>
    <w:rsid w:val="0024110A"/>
    <w:rsid w:val="002540D5"/>
    <w:rsid w:val="00266012"/>
    <w:rsid w:val="00271DDF"/>
    <w:rsid w:val="00276CAE"/>
    <w:rsid w:val="00287436"/>
    <w:rsid w:val="00293AE8"/>
    <w:rsid w:val="00297DDD"/>
    <w:rsid w:val="002A2882"/>
    <w:rsid w:val="002A6FD1"/>
    <w:rsid w:val="002A7D6A"/>
    <w:rsid w:val="002D438D"/>
    <w:rsid w:val="002D7F45"/>
    <w:rsid w:val="002E0EF0"/>
    <w:rsid w:val="002E7414"/>
    <w:rsid w:val="002F1B96"/>
    <w:rsid w:val="002F6268"/>
    <w:rsid w:val="00312128"/>
    <w:rsid w:val="00322841"/>
    <w:rsid w:val="0033079C"/>
    <w:rsid w:val="00336C45"/>
    <w:rsid w:val="003407B6"/>
    <w:rsid w:val="0034116B"/>
    <w:rsid w:val="00341410"/>
    <w:rsid w:val="003570DC"/>
    <w:rsid w:val="00364036"/>
    <w:rsid w:val="003716D2"/>
    <w:rsid w:val="00386577"/>
    <w:rsid w:val="003953EE"/>
    <w:rsid w:val="003A545D"/>
    <w:rsid w:val="003C5DDC"/>
    <w:rsid w:val="003C622D"/>
    <w:rsid w:val="003D0355"/>
    <w:rsid w:val="003D0E26"/>
    <w:rsid w:val="003D5107"/>
    <w:rsid w:val="003E3EB7"/>
    <w:rsid w:val="004215F8"/>
    <w:rsid w:val="00437E77"/>
    <w:rsid w:val="00443099"/>
    <w:rsid w:val="00451619"/>
    <w:rsid w:val="00464085"/>
    <w:rsid w:val="00464E63"/>
    <w:rsid w:val="00484CF9"/>
    <w:rsid w:val="00492FA1"/>
    <w:rsid w:val="004A0020"/>
    <w:rsid w:val="004A1835"/>
    <w:rsid w:val="004A27E1"/>
    <w:rsid w:val="004B3C02"/>
    <w:rsid w:val="004C17A4"/>
    <w:rsid w:val="004E4DC8"/>
    <w:rsid w:val="004F6CB2"/>
    <w:rsid w:val="00505119"/>
    <w:rsid w:val="00511658"/>
    <w:rsid w:val="005117BD"/>
    <w:rsid w:val="00512C73"/>
    <w:rsid w:val="00525E4A"/>
    <w:rsid w:val="00530973"/>
    <w:rsid w:val="005342E9"/>
    <w:rsid w:val="00542BD8"/>
    <w:rsid w:val="00551747"/>
    <w:rsid w:val="00563936"/>
    <w:rsid w:val="00570AD3"/>
    <w:rsid w:val="00575D2B"/>
    <w:rsid w:val="005777EF"/>
    <w:rsid w:val="00577D1E"/>
    <w:rsid w:val="005864CF"/>
    <w:rsid w:val="00587FCB"/>
    <w:rsid w:val="005946A4"/>
    <w:rsid w:val="00596C96"/>
    <w:rsid w:val="005A0A8C"/>
    <w:rsid w:val="005B0B48"/>
    <w:rsid w:val="005B595F"/>
    <w:rsid w:val="005C4E39"/>
    <w:rsid w:val="005D0E0E"/>
    <w:rsid w:val="005D22D0"/>
    <w:rsid w:val="005E1A4C"/>
    <w:rsid w:val="005E3E47"/>
    <w:rsid w:val="005E6924"/>
    <w:rsid w:val="005F1125"/>
    <w:rsid w:val="005F1467"/>
    <w:rsid w:val="005F4A45"/>
    <w:rsid w:val="005F5240"/>
    <w:rsid w:val="006031F9"/>
    <w:rsid w:val="006045CA"/>
    <w:rsid w:val="006133FC"/>
    <w:rsid w:val="00613BDD"/>
    <w:rsid w:val="006244BC"/>
    <w:rsid w:val="0062765E"/>
    <w:rsid w:val="00635745"/>
    <w:rsid w:val="006368E6"/>
    <w:rsid w:val="00641DCC"/>
    <w:rsid w:val="00645AB7"/>
    <w:rsid w:val="006649C1"/>
    <w:rsid w:val="006660ED"/>
    <w:rsid w:val="0067669C"/>
    <w:rsid w:val="006A0A46"/>
    <w:rsid w:val="006A47E9"/>
    <w:rsid w:val="006A669F"/>
    <w:rsid w:val="006D281B"/>
    <w:rsid w:val="006D4961"/>
    <w:rsid w:val="006E73E4"/>
    <w:rsid w:val="006F0D9A"/>
    <w:rsid w:val="006F5B58"/>
    <w:rsid w:val="006F7CAB"/>
    <w:rsid w:val="0070480A"/>
    <w:rsid w:val="007057F0"/>
    <w:rsid w:val="00725E25"/>
    <w:rsid w:val="00727911"/>
    <w:rsid w:val="00733396"/>
    <w:rsid w:val="0074509B"/>
    <w:rsid w:val="0074525B"/>
    <w:rsid w:val="00757505"/>
    <w:rsid w:val="00763394"/>
    <w:rsid w:val="00764B94"/>
    <w:rsid w:val="00765BD8"/>
    <w:rsid w:val="007661C8"/>
    <w:rsid w:val="007731E3"/>
    <w:rsid w:val="00777A13"/>
    <w:rsid w:val="00783201"/>
    <w:rsid w:val="00785D39"/>
    <w:rsid w:val="00790F94"/>
    <w:rsid w:val="007A231E"/>
    <w:rsid w:val="007A48F8"/>
    <w:rsid w:val="007A752B"/>
    <w:rsid w:val="007B0557"/>
    <w:rsid w:val="007C4E9A"/>
    <w:rsid w:val="007D22E4"/>
    <w:rsid w:val="007F2C47"/>
    <w:rsid w:val="007F3B37"/>
    <w:rsid w:val="007F475B"/>
    <w:rsid w:val="007F4ADE"/>
    <w:rsid w:val="00802A5B"/>
    <w:rsid w:val="00813DBE"/>
    <w:rsid w:val="008240D5"/>
    <w:rsid w:val="0084092A"/>
    <w:rsid w:val="008665C5"/>
    <w:rsid w:val="00866628"/>
    <w:rsid w:val="008701D1"/>
    <w:rsid w:val="00875C99"/>
    <w:rsid w:val="0088043C"/>
    <w:rsid w:val="00881A5A"/>
    <w:rsid w:val="00884076"/>
    <w:rsid w:val="008963C0"/>
    <w:rsid w:val="008B1872"/>
    <w:rsid w:val="008F014C"/>
    <w:rsid w:val="008F6EB1"/>
    <w:rsid w:val="00905D08"/>
    <w:rsid w:val="00911930"/>
    <w:rsid w:val="00916CBB"/>
    <w:rsid w:val="00924157"/>
    <w:rsid w:val="009373BF"/>
    <w:rsid w:val="00940ADD"/>
    <w:rsid w:val="00962ED1"/>
    <w:rsid w:val="00964838"/>
    <w:rsid w:val="00972FC1"/>
    <w:rsid w:val="00973B49"/>
    <w:rsid w:val="00981E24"/>
    <w:rsid w:val="009852AE"/>
    <w:rsid w:val="00992E85"/>
    <w:rsid w:val="0099433D"/>
    <w:rsid w:val="00995653"/>
    <w:rsid w:val="00996317"/>
    <w:rsid w:val="009A0554"/>
    <w:rsid w:val="009A6CA8"/>
    <w:rsid w:val="009B5451"/>
    <w:rsid w:val="009B6256"/>
    <w:rsid w:val="009C5CE9"/>
    <w:rsid w:val="009E6D6C"/>
    <w:rsid w:val="009E6E32"/>
    <w:rsid w:val="009F1C4E"/>
    <w:rsid w:val="00A07BB1"/>
    <w:rsid w:val="00A14836"/>
    <w:rsid w:val="00A20CBD"/>
    <w:rsid w:val="00A22339"/>
    <w:rsid w:val="00A23CFD"/>
    <w:rsid w:val="00A26194"/>
    <w:rsid w:val="00A27EA1"/>
    <w:rsid w:val="00A3339C"/>
    <w:rsid w:val="00A33B33"/>
    <w:rsid w:val="00A368DB"/>
    <w:rsid w:val="00A3764B"/>
    <w:rsid w:val="00A53E1D"/>
    <w:rsid w:val="00A73430"/>
    <w:rsid w:val="00A820D1"/>
    <w:rsid w:val="00A9178F"/>
    <w:rsid w:val="00A952BD"/>
    <w:rsid w:val="00A96AA6"/>
    <w:rsid w:val="00AA4832"/>
    <w:rsid w:val="00AB387C"/>
    <w:rsid w:val="00AB58FB"/>
    <w:rsid w:val="00AD041E"/>
    <w:rsid w:val="00AD634B"/>
    <w:rsid w:val="00AE615F"/>
    <w:rsid w:val="00AF0567"/>
    <w:rsid w:val="00AF08C0"/>
    <w:rsid w:val="00B01251"/>
    <w:rsid w:val="00B12529"/>
    <w:rsid w:val="00B16A79"/>
    <w:rsid w:val="00B21D99"/>
    <w:rsid w:val="00B221B3"/>
    <w:rsid w:val="00B23080"/>
    <w:rsid w:val="00B31B6A"/>
    <w:rsid w:val="00B44622"/>
    <w:rsid w:val="00B51D16"/>
    <w:rsid w:val="00B63E3F"/>
    <w:rsid w:val="00B90E8C"/>
    <w:rsid w:val="00B94302"/>
    <w:rsid w:val="00B968AC"/>
    <w:rsid w:val="00BA0FD4"/>
    <w:rsid w:val="00BB102E"/>
    <w:rsid w:val="00BB4513"/>
    <w:rsid w:val="00BB52CD"/>
    <w:rsid w:val="00BE45D8"/>
    <w:rsid w:val="00BE7D6B"/>
    <w:rsid w:val="00C05A1D"/>
    <w:rsid w:val="00C1147A"/>
    <w:rsid w:val="00C17967"/>
    <w:rsid w:val="00C20F53"/>
    <w:rsid w:val="00C35971"/>
    <w:rsid w:val="00C46BDD"/>
    <w:rsid w:val="00C64425"/>
    <w:rsid w:val="00C749DB"/>
    <w:rsid w:val="00C7622C"/>
    <w:rsid w:val="00C76278"/>
    <w:rsid w:val="00C77BE9"/>
    <w:rsid w:val="00C81169"/>
    <w:rsid w:val="00C90AF0"/>
    <w:rsid w:val="00C95578"/>
    <w:rsid w:val="00C97DE4"/>
    <w:rsid w:val="00CA4652"/>
    <w:rsid w:val="00CA52EE"/>
    <w:rsid w:val="00CB34EC"/>
    <w:rsid w:val="00CB3E68"/>
    <w:rsid w:val="00CB7ED0"/>
    <w:rsid w:val="00CC3D5B"/>
    <w:rsid w:val="00CD192A"/>
    <w:rsid w:val="00CD4A3A"/>
    <w:rsid w:val="00CD6278"/>
    <w:rsid w:val="00CD7866"/>
    <w:rsid w:val="00CE4445"/>
    <w:rsid w:val="00CE7024"/>
    <w:rsid w:val="00CE73A7"/>
    <w:rsid w:val="00CF217C"/>
    <w:rsid w:val="00D04588"/>
    <w:rsid w:val="00D07A7A"/>
    <w:rsid w:val="00D1046B"/>
    <w:rsid w:val="00D14CBF"/>
    <w:rsid w:val="00D17A6B"/>
    <w:rsid w:val="00D215A0"/>
    <w:rsid w:val="00D21818"/>
    <w:rsid w:val="00D360C4"/>
    <w:rsid w:val="00D511D1"/>
    <w:rsid w:val="00D52133"/>
    <w:rsid w:val="00D55D73"/>
    <w:rsid w:val="00D56771"/>
    <w:rsid w:val="00D56809"/>
    <w:rsid w:val="00D56E73"/>
    <w:rsid w:val="00D64CCA"/>
    <w:rsid w:val="00D679B5"/>
    <w:rsid w:val="00D84143"/>
    <w:rsid w:val="00D85F58"/>
    <w:rsid w:val="00D8732A"/>
    <w:rsid w:val="00D92AD5"/>
    <w:rsid w:val="00D946B2"/>
    <w:rsid w:val="00DA5AA6"/>
    <w:rsid w:val="00DD6E6E"/>
    <w:rsid w:val="00DE0F4B"/>
    <w:rsid w:val="00DF771F"/>
    <w:rsid w:val="00E17DF8"/>
    <w:rsid w:val="00E2042A"/>
    <w:rsid w:val="00E27DA0"/>
    <w:rsid w:val="00E32A4B"/>
    <w:rsid w:val="00E36A9F"/>
    <w:rsid w:val="00E72582"/>
    <w:rsid w:val="00E7431E"/>
    <w:rsid w:val="00E767F7"/>
    <w:rsid w:val="00E85CE8"/>
    <w:rsid w:val="00E87113"/>
    <w:rsid w:val="00E966AB"/>
    <w:rsid w:val="00EA02AC"/>
    <w:rsid w:val="00EA1A26"/>
    <w:rsid w:val="00EA46E9"/>
    <w:rsid w:val="00EB2C00"/>
    <w:rsid w:val="00EB4202"/>
    <w:rsid w:val="00EB5AEE"/>
    <w:rsid w:val="00EC1070"/>
    <w:rsid w:val="00EC6131"/>
    <w:rsid w:val="00ED22E4"/>
    <w:rsid w:val="00EE1412"/>
    <w:rsid w:val="00EE7731"/>
    <w:rsid w:val="00EF7CF9"/>
    <w:rsid w:val="00F06C9B"/>
    <w:rsid w:val="00F220DB"/>
    <w:rsid w:val="00F2305B"/>
    <w:rsid w:val="00F27DD6"/>
    <w:rsid w:val="00F34BBD"/>
    <w:rsid w:val="00F449DA"/>
    <w:rsid w:val="00F617B5"/>
    <w:rsid w:val="00F628AE"/>
    <w:rsid w:val="00F6760C"/>
    <w:rsid w:val="00F714B7"/>
    <w:rsid w:val="00F7384E"/>
    <w:rsid w:val="00F73A04"/>
    <w:rsid w:val="00F81087"/>
    <w:rsid w:val="00FA48D2"/>
    <w:rsid w:val="00FC0AC7"/>
    <w:rsid w:val="00FC11D1"/>
    <w:rsid w:val="00FC1A9A"/>
    <w:rsid w:val="00FD7AA3"/>
    <w:rsid w:val="00FE15A7"/>
    <w:rsid w:val="00FE72AD"/>
    <w:rsid w:val="12CCA312"/>
    <w:rsid w:val="1FB7CEEF"/>
    <w:rsid w:val="4290B028"/>
    <w:rsid w:val="439FA3C0"/>
    <w:rsid w:val="4BDFDBC6"/>
    <w:rsid w:val="4E5D69DB"/>
    <w:rsid w:val="4F878191"/>
    <w:rsid w:val="511BF330"/>
    <w:rsid w:val="55F5C024"/>
    <w:rsid w:val="6FFA367D"/>
    <w:rsid w:val="70255818"/>
    <w:rsid w:val="748AB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FDBC6"/>
  <w15:chartTrackingRefBased/>
  <w15:docId w15:val="{BFB777CF-6F0E-4D85-9ACF-D19C2BE1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F3B37"/>
    <w:pPr>
      <w:ind w:left="720"/>
      <w:contextualSpacing/>
    </w:pPr>
  </w:style>
  <w:style w:type="table" w:styleId="TableGrid">
    <w:name w:val="Table Grid"/>
    <w:basedOn w:val="TableNormal"/>
    <w:uiPriority w:val="39"/>
    <w:rsid w:val="0032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258454">
      <w:bodyDiv w:val="1"/>
      <w:marLeft w:val="0"/>
      <w:marRight w:val="0"/>
      <w:marTop w:val="0"/>
      <w:marBottom w:val="0"/>
      <w:divBdr>
        <w:top w:val="none" w:sz="0" w:space="0" w:color="auto"/>
        <w:left w:val="none" w:sz="0" w:space="0" w:color="auto"/>
        <w:bottom w:val="none" w:sz="0" w:space="0" w:color="auto"/>
        <w:right w:val="none" w:sz="0" w:space="0" w:color="auto"/>
      </w:divBdr>
      <w:divsChild>
        <w:div w:id="354771309">
          <w:marLeft w:val="0"/>
          <w:marRight w:val="0"/>
          <w:marTop w:val="0"/>
          <w:marBottom w:val="0"/>
          <w:divBdr>
            <w:top w:val="none" w:sz="0" w:space="0" w:color="auto"/>
            <w:left w:val="none" w:sz="0" w:space="0" w:color="auto"/>
            <w:bottom w:val="none" w:sz="0" w:space="0" w:color="auto"/>
            <w:right w:val="none" w:sz="0" w:space="0" w:color="auto"/>
          </w:divBdr>
          <w:divsChild>
            <w:div w:id="150567485">
              <w:marLeft w:val="0"/>
              <w:marRight w:val="0"/>
              <w:marTop w:val="0"/>
              <w:marBottom w:val="0"/>
              <w:divBdr>
                <w:top w:val="none" w:sz="0" w:space="0" w:color="auto"/>
                <w:left w:val="none" w:sz="0" w:space="0" w:color="auto"/>
                <w:bottom w:val="none" w:sz="0" w:space="0" w:color="auto"/>
                <w:right w:val="none" w:sz="0" w:space="0" w:color="auto"/>
              </w:divBdr>
            </w:div>
            <w:div w:id="229773277">
              <w:marLeft w:val="0"/>
              <w:marRight w:val="0"/>
              <w:marTop w:val="0"/>
              <w:marBottom w:val="0"/>
              <w:divBdr>
                <w:top w:val="none" w:sz="0" w:space="0" w:color="auto"/>
                <w:left w:val="none" w:sz="0" w:space="0" w:color="auto"/>
                <w:bottom w:val="none" w:sz="0" w:space="0" w:color="auto"/>
                <w:right w:val="none" w:sz="0" w:space="0" w:color="auto"/>
              </w:divBdr>
            </w:div>
            <w:div w:id="865102803">
              <w:marLeft w:val="0"/>
              <w:marRight w:val="0"/>
              <w:marTop w:val="0"/>
              <w:marBottom w:val="0"/>
              <w:divBdr>
                <w:top w:val="none" w:sz="0" w:space="0" w:color="auto"/>
                <w:left w:val="none" w:sz="0" w:space="0" w:color="auto"/>
                <w:bottom w:val="none" w:sz="0" w:space="0" w:color="auto"/>
                <w:right w:val="none" w:sz="0" w:space="0" w:color="auto"/>
              </w:divBdr>
            </w:div>
            <w:div w:id="1402093484">
              <w:marLeft w:val="0"/>
              <w:marRight w:val="0"/>
              <w:marTop w:val="0"/>
              <w:marBottom w:val="0"/>
              <w:divBdr>
                <w:top w:val="none" w:sz="0" w:space="0" w:color="auto"/>
                <w:left w:val="none" w:sz="0" w:space="0" w:color="auto"/>
                <w:bottom w:val="none" w:sz="0" w:space="0" w:color="auto"/>
                <w:right w:val="none" w:sz="0" w:space="0" w:color="auto"/>
              </w:divBdr>
            </w:div>
            <w:div w:id="1454516278">
              <w:marLeft w:val="0"/>
              <w:marRight w:val="0"/>
              <w:marTop w:val="0"/>
              <w:marBottom w:val="0"/>
              <w:divBdr>
                <w:top w:val="none" w:sz="0" w:space="0" w:color="auto"/>
                <w:left w:val="none" w:sz="0" w:space="0" w:color="auto"/>
                <w:bottom w:val="none" w:sz="0" w:space="0" w:color="auto"/>
                <w:right w:val="none" w:sz="0" w:space="0" w:color="auto"/>
              </w:divBdr>
            </w:div>
            <w:div w:id="1955481287">
              <w:marLeft w:val="0"/>
              <w:marRight w:val="0"/>
              <w:marTop w:val="0"/>
              <w:marBottom w:val="0"/>
              <w:divBdr>
                <w:top w:val="none" w:sz="0" w:space="0" w:color="auto"/>
                <w:left w:val="none" w:sz="0" w:space="0" w:color="auto"/>
                <w:bottom w:val="none" w:sz="0" w:space="0" w:color="auto"/>
                <w:right w:val="none" w:sz="0" w:space="0" w:color="auto"/>
              </w:divBdr>
            </w:div>
          </w:divsChild>
        </w:div>
        <w:div w:id="382099507">
          <w:marLeft w:val="0"/>
          <w:marRight w:val="0"/>
          <w:marTop w:val="0"/>
          <w:marBottom w:val="0"/>
          <w:divBdr>
            <w:top w:val="none" w:sz="0" w:space="0" w:color="auto"/>
            <w:left w:val="none" w:sz="0" w:space="0" w:color="auto"/>
            <w:bottom w:val="none" w:sz="0" w:space="0" w:color="auto"/>
            <w:right w:val="none" w:sz="0" w:space="0" w:color="auto"/>
          </w:divBdr>
          <w:divsChild>
            <w:div w:id="416219395">
              <w:marLeft w:val="0"/>
              <w:marRight w:val="0"/>
              <w:marTop w:val="0"/>
              <w:marBottom w:val="0"/>
              <w:divBdr>
                <w:top w:val="none" w:sz="0" w:space="0" w:color="auto"/>
                <w:left w:val="none" w:sz="0" w:space="0" w:color="auto"/>
                <w:bottom w:val="none" w:sz="0" w:space="0" w:color="auto"/>
                <w:right w:val="none" w:sz="0" w:space="0" w:color="auto"/>
              </w:divBdr>
            </w:div>
            <w:div w:id="591209588">
              <w:marLeft w:val="0"/>
              <w:marRight w:val="0"/>
              <w:marTop w:val="0"/>
              <w:marBottom w:val="0"/>
              <w:divBdr>
                <w:top w:val="none" w:sz="0" w:space="0" w:color="auto"/>
                <w:left w:val="none" w:sz="0" w:space="0" w:color="auto"/>
                <w:bottom w:val="none" w:sz="0" w:space="0" w:color="auto"/>
                <w:right w:val="none" w:sz="0" w:space="0" w:color="auto"/>
              </w:divBdr>
            </w:div>
            <w:div w:id="673340604">
              <w:marLeft w:val="0"/>
              <w:marRight w:val="0"/>
              <w:marTop w:val="0"/>
              <w:marBottom w:val="0"/>
              <w:divBdr>
                <w:top w:val="none" w:sz="0" w:space="0" w:color="auto"/>
                <w:left w:val="none" w:sz="0" w:space="0" w:color="auto"/>
                <w:bottom w:val="none" w:sz="0" w:space="0" w:color="auto"/>
                <w:right w:val="none" w:sz="0" w:space="0" w:color="auto"/>
              </w:divBdr>
            </w:div>
            <w:div w:id="804196840">
              <w:marLeft w:val="0"/>
              <w:marRight w:val="0"/>
              <w:marTop w:val="0"/>
              <w:marBottom w:val="0"/>
              <w:divBdr>
                <w:top w:val="none" w:sz="0" w:space="0" w:color="auto"/>
                <w:left w:val="none" w:sz="0" w:space="0" w:color="auto"/>
                <w:bottom w:val="none" w:sz="0" w:space="0" w:color="auto"/>
                <w:right w:val="none" w:sz="0" w:space="0" w:color="auto"/>
              </w:divBdr>
            </w:div>
            <w:div w:id="827554008">
              <w:marLeft w:val="0"/>
              <w:marRight w:val="0"/>
              <w:marTop w:val="0"/>
              <w:marBottom w:val="0"/>
              <w:divBdr>
                <w:top w:val="none" w:sz="0" w:space="0" w:color="auto"/>
                <w:left w:val="none" w:sz="0" w:space="0" w:color="auto"/>
                <w:bottom w:val="none" w:sz="0" w:space="0" w:color="auto"/>
                <w:right w:val="none" w:sz="0" w:space="0" w:color="auto"/>
              </w:divBdr>
            </w:div>
            <w:div w:id="1340740440">
              <w:marLeft w:val="0"/>
              <w:marRight w:val="0"/>
              <w:marTop w:val="0"/>
              <w:marBottom w:val="0"/>
              <w:divBdr>
                <w:top w:val="none" w:sz="0" w:space="0" w:color="auto"/>
                <w:left w:val="none" w:sz="0" w:space="0" w:color="auto"/>
                <w:bottom w:val="none" w:sz="0" w:space="0" w:color="auto"/>
                <w:right w:val="none" w:sz="0" w:space="0" w:color="auto"/>
              </w:divBdr>
            </w:div>
            <w:div w:id="1371565859">
              <w:marLeft w:val="0"/>
              <w:marRight w:val="0"/>
              <w:marTop w:val="0"/>
              <w:marBottom w:val="0"/>
              <w:divBdr>
                <w:top w:val="none" w:sz="0" w:space="0" w:color="auto"/>
                <w:left w:val="none" w:sz="0" w:space="0" w:color="auto"/>
                <w:bottom w:val="none" w:sz="0" w:space="0" w:color="auto"/>
                <w:right w:val="none" w:sz="0" w:space="0" w:color="auto"/>
              </w:divBdr>
            </w:div>
            <w:div w:id="1464156079">
              <w:marLeft w:val="0"/>
              <w:marRight w:val="0"/>
              <w:marTop w:val="0"/>
              <w:marBottom w:val="0"/>
              <w:divBdr>
                <w:top w:val="none" w:sz="0" w:space="0" w:color="auto"/>
                <w:left w:val="none" w:sz="0" w:space="0" w:color="auto"/>
                <w:bottom w:val="none" w:sz="0" w:space="0" w:color="auto"/>
                <w:right w:val="none" w:sz="0" w:space="0" w:color="auto"/>
              </w:divBdr>
            </w:div>
            <w:div w:id="1472363517">
              <w:marLeft w:val="0"/>
              <w:marRight w:val="0"/>
              <w:marTop w:val="0"/>
              <w:marBottom w:val="0"/>
              <w:divBdr>
                <w:top w:val="none" w:sz="0" w:space="0" w:color="auto"/>
                <w:left w:val="none" w:sz="0" w:space="0" w:color="auto"/>
                <w:bottom w:val="none" w:sz="0" w:space="0" w:color="auto"/>
                <w:right w:val="none" w:sz="0" w:space="0" w:color="auto"/>
              </w:divBdr>
            </w:div>
            <w:div w:id="1548569082">
              <w:marLeft w:val="0"/>
              <w:marRight w:val="0"/>
              <w:marTop w:val="0"/>
              <w:marBottom w:val="0"/>
              <w:divBdr>
                <w:top w:val="none" w:sz="0" w:space="0" w:color="auto"/>
                <w:left w:val="none" w:sz="0" w:space="0" w:color="auto"/>
                <w:bottom w:val="none" w:sz="0" w:space="0" w:color="auto"/>
                <w:right w:val="none" w:sz="0" w:space="0" w:color="auto"/>
              </w:divBdr>
            </w:div>
            <w:div w:id="1681161381">
              <w:marLeft w:val="0"/>
              <w:marRight w:val="0"/>
              <w:marTop w:val="0"/>
              <w:marBottom w:val="0"/>
              <w:divBdr>
                <w:top w:val="none" w:sz="0" w:space="0" w:color="auto"/>
                <w:left w:val="none" w:sz="0" w:space="0" w:color="auto"/>
                <w:bottom w:val="none" w:sz="0" w:space="0" w:color="auto"/>
                <w:right w:val="none" w:sz="0" w:space="0" w:color="auto"/>
              </w:divBdr>
            </w:div>
            <w:div w:id="20969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209">
      <w:bodyDiv w:val="1"/>
      <w:marLeft w:val="0"/>
      <w:marRight w:val="0"/>
      <w:marTop w:val="0"/>
      <w:marBottom w:val="0"/>
      <w:divBdr>
        <w:top w:val="none" w:sz="0" w:space="0" w:color="auto"/>
        <w:left w:val="none" w:sz="0" w:space="0" w:color="auto"/>
        <w:bottom w:val="none" w:sz="0" w:space="0" w:color="auto"/>
        <w:right w:val="none" w:sz="0" w:space="0" w:color="auto"/>
      </w:divBdr>
      <w:divsChild>
        <w:div w:id="328095226">
          <w:marLeft w:val="0"/>
          <w:marRight w:val="0"/>
          <w:marTop w:val="0"/>
          <w:marBottom w:val="0"/>
          <w:divBdr>
            <w:top w:val="none" w:sz="0" w:space="0" w:color="auto"/>
            <w:left w:val="none" w:sz="0" w:space="0" w:color="auto"/>
            <w:bottom w:val="none" w:sz="0" w:space="0" w:color="auto"/>
            <w:right w:val="none" w:sz="0" w:space="0" w:color="auto"/>
          </w:divBdr>
          <w:divsChild>
            <w:div w:id="32661277">
              <w:marLeft w:val="0"/>
              <w:marRight w:val="0"/>
              <w:marTop w:val="0"/>
              <w:marBottom w:val="0"/>
              <w:divBdr>
                <w:top w:val="none" w:sz="0" w:space="0" w:color="auto"/>
                <w:left w:val="none" w:sz="0" w:space="0" w:color="auto"/>
                <w:bottom w:val="none" w:sz="0" w:space="0" w:color="auto"/>
                <w:right w:val="none" w:sz="0" w:space="0" w:color="auto"/>
              </w:divBdr>
            </w:div>
            <w:div w:id="139079643">
              <w:marLeft w:val="0"/>
              <w:marRight w:val="0"/>
              <w:marTop w:val="0"/>
              <w:marBottom w:val="0"/>
              <w:divBdr>
                <w:top w:val="none" w:sz="0" w:space="0" w:color="auto"/>
                <w:left w:val="none" w:sz="0" w:space="0" w:color="auto"/>
                <w:bottom w:val="none" w:sz="0" w:space="0" w:color="auto"/>
                <w:right w:val="none" w:sz="0" w:space="0" w:color="auto"/>
              </w:divBdr>
            </w:div>
            <w:div w:id="258412582">
              <w:marLeft w:val="0"/>
              <w:marRight w:val="0"/>
              <w:marTop w:val="0"/>
              <w:marBottom w:val="0"/>
              <w:divBdr>
                <w:top w:val="none" w:sz="0" w:space="0" w:color="auto"/>
                <w:left w:val="none" w:sz="0" w:space="0" w:color="auto"/>
                <w:bottom w:val="none" w:sz="0" w:space="0" w:color="auto"/>
                <w:right w:val="none" w:sz="0" w:space="0" w:color="auto"/>
              </w:divBdr>
            </w:div>
            <w:div w:id="399913316">
              <w:marLeft w:val="0"/>
              <w:marRight w:val="0"/>
              <w:marTop w:val="0"/>
              <w:marBottom w:val="0"/>
              <w:divBdr>
                <w:top w:val="none" w:sz="0" w:space="0" w:color="auto"/>
                <w:left w:val="none" w:sz="0" w:space="0" w:color="auto"/>
                <w:bottom w:val="none" w:sz="0" w:space="0" w:color="auto"/>
                <w:right w:val="none" w:sz="0" w:space="0" w:color="auto"/>
              </w:divBdr>
            </w:div>
            <w:div w:id="467161730">
              <w:marLeft w:val="0"/>
              <w:marRight w:val="0"/>
              <w:marTop w:val="0"/>
              <w:marBottom w:val="0"/>
              <w:divBdr>
                <w:top w:val="none" w:sz="0" w:space="0" w:color="auto"/>
                <w:left w:val="none" w:sz="0" w:space="0" w:color="auto"/>
                <w:bottom w:val="none" w:sz="0" w:space="0" w:color="auto"/>
                <w:right w:val="none" w:sz="0" w:space="0" w:color="auto"/>
              </w:divBdr>
            </w:div>
            <w:div w:id="536166900">
              <w:marLeft w:val="0"/>
              <w:marRight w:val="0"/>
              <w:marTop w:val="0"/>
              <w:marBottom w:val="0"/>
              <w:divBdr>
                <w:top w:val="none" w:sz="0" w:space="0" w:color="auto"/>
                <w:left w:val="none" w:sz="0" w:space="0" w:color="auto"/>
                <w:bottom w:val="none" w:sz="0" w:space="0" w:color="auto"/>
                <w:right w:val="none" w:sz="0" w:space="0" w:color="auto"/>
              </w:divBdr>
            </w:div>
            <w:div w:id="683825183">
              <w:marLeft w:val="0"/>
              <w:marRight w:val="0"/>
              <w:marTop w:val="0"/>
              <w:marBottom w:val="0"/>
              <w:divBdr>
                <w:top w:val="none" w:sz="0" w:space="0" w:color="auto"/>
                <w:left w:val="none" w:sz="0" w:space="0" w:color="auto"/>
                <w:bottom w:val="none" w:sz="0" w:space="0" w:color="auto"/>
                <w:right w:val="none" w:sz="0" w:space="0" w:color="auto"/>
              </w:divBdr>
            </w:div>
            <w:div w:id="834805881">
              <w:marLeft w:val="0"/>
              <w:marRight w:val="0"/>
              <w:marTop w:val="0"/>
              <w:marBottom w:val="0"/>
              <w:divBdr>
                <w:top w:val="none" w:sz="0" w:space="0" w:color="auto"/>
                <w:left w:val="none" w:sz="0" w:space="0" w:color="auto"/>
                <w:bottom w:val="none" w:sz="0" w:space="0" w:color="auto"/>
                <w:right w:val="none" w:sz="0" w:space="0" w:color="auto"/>
              </w:divBdr>
            </w:div>
            <w:div w:id="1076172535">
              <w:marLeft w:val="0"/>
              <w:marRight w:val="0"/>
              <w:marTop w:val="0"/>
              <w:marBottom w:val="0"/>
              <w:divBdr>
                <w:top w:val="none" w:sz="0" w:space="0" w:color="auto"/>
                <w:left w:val="none" w:sz="0" w:space="0" w:color="auto"/>
                <w:bottom w:val="none" w:sz="0" w:space="0" w:color="auto"/>
                <w:right w:val="none" w:sz="0" w:space="0" w:color="auto"/>
              </w:divBdr>
            </w:div>
            <w:div w:id="1749303643">
              <w:marLeft w:val="0"/>
              <w:marRight w:val="0"/>
              <w:marTop w:val="0"/>
              <w:marBottom w:val="0"/>
              <w:divBdr>
                <w:top w:val="none" w:sz="0" w:space="0" w:color="auto"/>
                <w:left w:val="none" w:sz="0" w:space="0" w:color="auto"/>
                <w:bottom w:val="none" w:sz="0" w:space="0" w:color="auto"/>
                <w:right w:val="none" w:sz="0" w:space="0" w:color="auto"/>
              </w:divBdr>
            </w:div>
            <w:div w:id="1905868584">
              <w:marLeft w:val="0"/>
              <w:marRight w:val="0"/>
              <w:marTop w:val="0"/>
              <w:marBottom w:val="0"/>
              <w:divBdr>
                <w:top w:val="none" w:sz="0" w:space="0" w:color="auto"/>
                <w:left w:val="none" w:sz="0" w:space="0" w:color="auto"/>
                <w:bottom w:val="none" w:sz="0" w:space="0" w:color="auto"/>
                <w:right w:val="none" w:sz="0" w:space="0" w:color="auto"/>
              </w:divBdr>
            </w:div>
            <w:div w:id="2143883170">
              <w:marLeft w:val="0"/>
              <w:marRight w:val="0"/>
              <w:marTop w:val="0"/>
              <w:marBottom w:val="0"/>
              <w:divBdr>
                <w:top w:val="none" w:sz="0" w:space="0" w:color="auto"/>
                <w:left w:val="none" w:sz="0" w:space="0" w:color="auto"/>
                <w:bottom w:val="none" w:sz="0" w:space="0" w:color="auto"/>
                <w:right w:val="none" w:sz="0" w:space="0" w:color="auto"/>
              </w:divBdr>
            </w:div>
          </w:divsChild>
        </w:div>
        <w:div w:id="1021008661">
          <w:marLeft w:val="0"/>
          <w:marRight w:val="0"/>
          <w:marTop w:val="0"/>
          <w:marBottom w:val="0"/>
          <w:divBdr>
            <w:top w:val="none" w:sz="0" w:space="0" w:color="auto"/>
            <w:left w:val="none" w:sz="0" w:space="0" w:color="auto"/>
            <w:bottom w:val="none" w:sz="0" w:space="0" w:color="auto"/>
            <w:right w:val="none" w:sz="0" w:space="0" w:color="auto"/>
          </w:divBdr>
          <w:divsChild>
            <w:div w:id="152769440">
              <w:marLeft w:val="0"/>
              <w:marRight w:val="0"/>
              <w:marTop w:val="0"/>
              <w:marBottom w:val="0"/>
              <w:divBdr>
                <w:top w:val="none" w:sz="0" w:space="0" w:color="auto"/>
                <w:left w:val="none" w:sz="0" w:space="0" w:color="auto"/>
                <w:bottom w:val="none" w:sz="0" w:space="0" w:color="auto"/>
                <w:right w:val="none" w:sz="0" w:space="0" w:color="auto"/>
              </w:divBdr>
            </w:div>
            <w:div w:id="617369845">
              <w:marLeft w:val="0"/>
              <w:marRight w:val="0"/>
              <w:marTop w:val="0"/>
              <w:marBottom w:val="0"/>
              <w:divBdr>
                <w:top w:val="none" w:sz="0" w:space="0" w:color="auto"/>
                <w:left w:val="none" w:sz="0" w:space="0" w:color="auto"/>
                <w:bottom w:val="none" w:sz="0" w:space="0" w:color="auto"/>
                <w:right w:val="none" w:sz="0" w:space="0" w:color="auto"/>
              </w:divBdr>
            </w:div>
            <w:div w:id="1430661476">
              <w:marLeft w:val="0"/>
              <w:marRight w:val="0"/>
              <w:marTop w:val="0"/>
              <w:marBottom w:val="0"/>
              <w:divBdr>
                <w:top w:val="none" w:sz="0" w:space="0" w:color="auto"/>
                <w:left w:val="none" w:sz="0" w:space="0" w:color="auto"/>
                <w:bottom w:val="none" w:sz="0" w:space="0" w:color="auto"/>
                <w:right w:val="none" w:sz="0" w:space="0" w:color="auto"/>
              </w:divBdr>
            </w:div>
            <w:div w:id="1691298643">
              <w:marLeft w:val="0"/>
              <w:marRight w:val="0"/>
              <w:marTop w:val="0"/>
              <w:marBottom w:val="0"/>
              <w:divBdr>
                <w:top w:val="none" w:sz="0" w:space="0" w:color="auto"/>
                <w:left w:val="none" w:sz="0" w:space="0" w:color="auto"/>
                <w:bottom w:val="none" w:sz="0" w:space="0" w:color="auto"/>
                <w:right w:val="none" w:sz="0" w:space="0" w:color="auto"/>
              </w:divBdr>
            </w:div>
            <w:div w:id="1893223957">
              <w:marLeft w:val="0"/>
              <w:marRight w:val="0"/>
              <w:marTop w:val="0"/>
              <w:marBottom w:val="0"/>
              <w:divBdr>
                <w:top w:val="none" w:sz="0" w:space="0" w:color="auto"/>
                <w:left w:val="none" w:sz="0" w:space="0" w:color="auto"/>
                <w:bottom w:val="none" w:sz="0" w:space="0" w:color="auto"/>
                <w:right w:val="none" w:sz="0" w:space="0" w:color="auto"/>
              </w:divBdr>
            </w:div>
            <w:div w:id="19056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3751">
      <w:bodyDiv w:val="1"/>
      <w:marLeft w:val="0"/>
      <w:marRight w:val="0"/>
      <w:marTop w:val="0"/>
      <w:marBottom w:val="0"/>
      <w:divBdr>
        <w:top w:val="none" w:sz="0" w:space="0" w:color="auto"/>
        <w:left w:val="none" w:sz="0" w:space="0" w:color="auto"/>
        <w:bottom w:val="none" w:sz="0" w:space="0" w:color="auto"/>
        <w:right w:val="none" w:sz="0" w:space="0" w:color="auto"/>
      </w:divBdr>
      <w:divsChild>
        <w:div w:id="182402615">
          <w:marLeft w:val="0"/>
          <w:marRight w:val="0"/>
          <w:marTop w:val="0"/>
          <w:marBottom w:val="0"/>
          <w:divBdr>
            <w:top w:val="none" w:sz="0" w:space="0" w:color="auto"/>
            <w:left w:val="none" w:sz="0" w:space="0" w:color="auto"/>
            <w:bottom w:val="none" w:sz="0" w:space="0" w:color="auto"/>
            <w:right w:val="none" w:sz="0" w:space="0" w:color="auto"/>
          </w:divBdr>
        </w:div>
        <w:div w:id="920942587">
          <w:marLeft w:val="0"/>
          <w:marRight w:val="0"/>
          <w:marTop w:val="0"/>
          <w:marBottom w:val="0"/>
          <w:divBdr>
            <w:top w:val="none" w:sz="0" w:space="0" w:color="auto"/>
            <w:left w:val="none" w:sz="0" w:space="0" w:color="auto"/>
            <w:bottom w:val="none" w:sz="0" w:space="0" w:color="auto"/>
            <w:right w:val="none" w:sz="0" w:space="0" w:color="auto"/>
          </w:divBdr>
        </w:div>
        <w:div w:id="1751391153">
          <w:marLeft w:val="0"/>
          <w:marRight w:val="0"/>
          <w:marTop w:val="0"/>
          <w:marBottom w:val="0"/>
          <w:divBdr>
            <w:top w:val="none" w:sz="0" w:space="0" w:color="auto"/>
            <w:left w:val="none" w:sz="0" w:space="0" w:color="auto"/>
            <w:bottom w:val="none" w:sz="0" w:space="0" w:color="auto"/>
            <w:right w:val="none" w:sz="0" w:space="0" w:color="auto"/>
          </w:divBdr>
        </w:div>
      </w:divsChild>
    </w:div>
    <w:div w:id="1748920648">
      <w:bodyDiv w:val="1"/>
      <w:marLeft w:val="0"/>
      <w:marRight w:val="0"/>
      <w:marTop w:val="0"/>
      <w:marBottom w:val="0"/>
      <w:divBdr>
        <w:top w:val="none" w:sz="0" w:space="0" w:color="auto"/>
        <w:left w:val="none" w:sz="0" w:space="0" w:color="auto"/>
        <w:bottom w:val="none" w:sz="0" w:space="0" w:color="auto"/>
        <w:right w:val="none" w:sz="0" w:space="0" w:color="auto"/>
      </w:divBdr>
      <w:divsChild>
        <w:div w:id="1097676299">
          <w:marLeft w:val="0"/>
          <w:marRight w:val="0"/>
          <w:marTop w:val="0"/>
          <w:marBottom w:val="0"/>
          <w:divBdr>
            <w:top w:val="none" w:sz="0" w:space="0" w:color="auto"/>
            <w:left w:val="none" w:sz="0" w:space="0" w:color="auto"/>
            <w:bottom w:val="none" w:sz="0" w:space="0" w:color="auto"/>
            <w:right w:val="none" w:sz="0" w:space="0" w:color="auto"/>
          </w:divBdr>
        </w:div>
        <w:div w:id="1339382218">
          <w:marLeft w:val="0"/>
          <w:marRight w:val="0"/>
          <w:marTop w:val="0"/>
          <w:marBottom w:val="0"/>
          <w:divBdr>
            <w:top w:val="none" w:sz="0" w:space="0" w:color="auto"/>
            <w:left w:val="none" w:sz="0" w:space="0" w:color="auto"/>
            <w:bottom w:val="none" w:sz="0" w:space="0" w:color="auto"/>
            <w:right w:val="none" w:sz="0" w:space="0" w:color="auto"/>
          </w:divBdr>
        </w:div>
        <w:div w:id="1591430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Bainbridge (staff)</dc:creator>
  <cp:keywords/>
  <dc:description/>
  <cp:lastModifiedBy>Ian Bainbridge (staff)</cp:lastModifiedBy>
  <cp:revision>354</cp:revision>
  <dcterms:created xsi:type="dcterms:W3CDTF">2024-10-25T01:49:00Z</dcterms:created>
  <dcterms:modified xsi:type="dcterms:W3CDTF">2025-01-07T14:48:00Z</dcterms:modified>
</cp:coreProperties>
</file>