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348F1" w14:textId="520168C7" w:rsidR="00E669A4" w:rsidRPr="001D25DB" w:rsidRDefault="00E669A4" w:rsidP="003B195B">
      <w:pPr>
        <w:pStyle w:val="Title"/>
        <w:rPr>
          <w:rFonts w:ascii="Arial" w:hAnsi="Arial" w:cs="Arial"/>
          <w:b/>
          <w:bCs/>
          <w:sz w:val="32"/>
          <w:szCs w:val="32"/>
          <w:u w:val="single"/>
        </w:rPr>
      </w:pPr>
      <w:r w:rsidRPr="001D25DB">
        <w:rPr>
          <w:rFonts w:ascii="Arial" w:hAnsi="Arial" w:cs="Arial"/>
          <w:b/>
          <w:bCs/>
          <w:sz w:val="32"/>
          <w:szCs w:val="32"/>
        </w:rPr>
        <w:t xml:space="preserve">Guidance and </w:t>
      </w:r>
      <w:r w:rsidR="007802B7" w:rsidRPr="001D25DB">
        <w:rPr>
          <w:rFonts w:ascii="Arial" w:hAnsi="Arial" w:cs="Arial"/>
          <w:b/>
          <w:bCs/>
          <w:sz w:val="32"/>
          <w:szCs w:val="32"/>
        </w:rPr>
        <w:t>r</w:t>
      </w:r>
      <w:r w:rsidRPr="001D25DB">
        <w:rPr>
          <w:rFonts w:ascii="Arial" w:hAnsi="Arial" w:cs="Arial"/>
          <w:b/>
          <w:bCs/>
          <w:sz w:val="32"/>
          <w:szCs w:val="32"/>
        </w:rPr>
        <w:t xml:space="preserve">ecommendations on the conduct of </w:t>
      </w:r>
      <w:r w:rsidR="00073AED" w:rsidRPr="001D25DB">
        <w:rPr>
          <w:rFonts w:ascii="Arial" w:hAnsi="Arial" w:cs="Arial"/>
          <w:b/>
          <w:bCs/>
          <w:sz w:val="32"/>
          <w:szCs w:val="32"/>
        </w:rPr>
        <w:t>a digital/</w:t>
      </w:r>
      <w:r w:rsidRPr="001D25DB">
        <w:rPr>
          <w:rFonts w:ascii="Arial" w:hAnsi="Arial" w:cs="Arial"/>
          <w:b/>
          <w:bCs/>
          <w:sz w:val="32"/>
          <w:szCs w:val="32"/>
        </w:rPr>
        <w:t xml:space="preserve">online </w:t>
      </w:r>
      <w:r w:rsidR="00073AED" w:rsidRPr="001D25DB">
        <w:rPr>
          <w:rFonts w:ascii="Arial" w:hAnsi="Arial" w:cs="Arial"/>
          <w:b/>
          <w:bCs/>
          <w:sz w:val="32"/>
          <w:szCs w:val="32"/>
        </w:rPr>
        <w:t>v</w:t>
      </w:r>
      <w:r w:rsidRPr="001D25DB">
        <w:rPr>
          <w:rFonts w:ascii="Arial" w:hAnsi="Arial" w:cs="Arial"/>
          <w:b/>
          <w:bCs/>
          <w:sz w:val="32"/>
          <w:szCs w:val="32"/>
        </w:rPr>
        <w:t xml:space="preserve">iva </w:t>
      </w:r>
      <w:r w:rsidR="00073AED" w:rsidRPr="001D25DB">
        <w:rPr>
          <w:rFonts w:ascii="Arial" w:hAnsi="Arial" w:cs="Arial"/>
          <w:b/>
          <w:bCs/>
          <w:sz w:val="32"/>
          <w:szCs w:val="32"/>
        </w:rPr>
        <w:t>v</w:t>
      </w:r>
      <w:r w:rsidRPr="001D25DB">
        <w:rPr>
          <w:rFonts w:ascii="Arial" w:hAnsi="Arial" w:cs="Arial"/>
          <w:b/>
          <w:bCs/>
          <w:sz w:val="32"/>
          <w:szCs w:val="32"/>
        </w:rPr>
        <w:t>oce examination</w:t>
      </w:r>
    </w:p>
    <w:p w14:paraId="32C201F2" w14:textId="11A2F975" w:rsidR="00E669A4" w:rsidRPr="00895A9B" w:rsidRDefault="00E669A4" w:rsidP="00E669A4">
      <w:pPr>
        <w:rPr>
          <w:rFonts w:cs="Arial"/>
          <w:sz w:val="22"/>
        </w:rPr>
      </w:pPr>
      <w:r w:rsidRPr="00895A9B">
        <w:rPr>
          <w:rFonts w:cs="Arial"/>
          <w:sz w:val="22"/>
        </w:rPr>
        <w:t>Th</w:t>
      </w:r>
      <w:r>
        <w:rPr>
          <w:rFonts w:cs="Arial"/>
          <w:sz w:val="22"/>
        </w:rPr>
        <w:t xml:space="preserve">ese guidance documents </w:t>
      </w:r>
      <w:r w:rsidRPr="00895A9B">
        <w:rPr>
          <w:rFonts w:cs="Arial"/>
          <w:sz w:val="22"/>
        </w:rPr>
        <w:t xml:space="preserve">should be read in conjunction with all existing research degree regulations, </w:t>
      </w:r>
      <w:hyperlink r:id="rId9" w:history="1">
        <w:r w:rsidRPr="007F5EB5">
          <w:rPr>
            <w:rStyle w:val="Hyperlink"/>
            <w:rFonts w:cs="Arial"/>
            <w:sz w:val="22"/>
          </w:rPr>
          <w:t>regulations for the appointment of internal and external research degree examiners and independent chairs</w:t>
        </w:r>
      </w:hyperlink>
      <w:r>
        <w:rPr>
          <w:rFonts w:cs="Arial"/>
          <w:sz w:val="22"/>
        </w:rPr>
        <w:t xml:space="preserve">, </w:t>
      </w:r>
      <w:hyperlink r:id="rId10" w:history="1">
        <w:r w:rsidRPr="007F5EB5">
          <w:rPr>
            <w:rStyle w:val="Hyperlink"/>
            <w:rFonts w:cs="Arial"/>
            <w:sz w:val="22"/>
          </w:rPr>
          <w:t>the university policy on personal relationships at work</w:t>
        </w:r>
      </w:hyperlink>
      <w:r>
        <w:rPr>
          <w:rFonts w:cs="Arial"/>
          <w:sz w:val="22"/>
        </w:rPr>
        <w:t xml:space="preserve">. These guides </w:t>
      </w:r>
      <w:r w:rsidRPr="00895A9B">
        <w:rPr>
          <w:sz w:val="22"/>
        </w:rPr>
        <w:t xml:space="preserve">apply to </w:t>
      </w:r>
      <w:r w:rsidRPr="00895A9B">
        <w:rPr>
          <w:color w:val="000000" w:themeColor="text1"/>
          <w:sz w:val="22"/>
        </w:rPr>
        <w:t xml:space="preserve">full time and part time </w:t>
      </w:r>
      <w:r w:rsidRPr="00895A9B">
        <w:rPr>
          <w:sz w:val="22"/>
        </w:rPr>
        <w:t xml:space="preserve">doctoral, </w:t>
      </w:r>
      <w:r>
        <w:rPr>
          <w:sz w:val="22"/>
        </w:rPr>
        <w:t xml:space="preserve">professional doctorate, </w:t>
      </w:r>
      <w:r w:rsidRPr="00895A9B">
        <w:rPr>
          <w:sz w:val="22"/>
        </w:rPr>
        <w:t xml:space="preserve">MPhil and MRes postgraduate researchers </w:t>
      </w:r>
      <w:r w:rsidRPr="00895A9B">
        <w:rPr>
          <w:rFonts w:cs="Arial"/>
          <w:sz w:val="22"/>
        </w:rPr>
        <w:t>(PGR</w:t>
      </w:r>
      <w:r>
        <w:rPr>
          <w:rFonts w:cs="Arial"/>
          <w:sz w:val="22"/>
        </w:rPr>
        <w:t>; where viva voce examinations are required)</w:t>
      </w:r>
      <w:r w:rsidRPr="00895A9B">
        <w:rPr>
          <w:rFonts w:cs="Arial"/>
          <w:sz w:val="22"/>
        </w:rPr>
        <w:t>.</w:t>
      </w:r>
    </w:p>
    <w:p w14:paraId="57D163D3" w14:textId="77777777" w:rsidR="00E669A4" w:rsidRDefault="00E669A4" w:rsidP="00E669A4">
      <w:pPr>
        <w:rPr>
          <w:rFonts w:cs="Arial"/>
          <w:b/>
          <w:bCs/>
          <w:sz w:val="22"/>
        </w:rPr>
      </w:pPr>
    </w:p>
    <w:p w14:paraId="16EF775D" w14:textId="22908892" w:rsidR="00E669A4" w:rsidRPr="001D25DB" w:rsidRDefault="00E669A4" w:rsidP="001D25DB">
      <w:pPr>
        <w:pStyle w:val="Heading1"/>
        <w:rPr>
          <w:rFonts w:ascii="Arial" w:hAnsi="Arial" w:cs="Arial"/>
          <w:b/>
          <w:bCs/>
          <w:color w:val="auto"/>
          <w:sz w:val="24"/>
          <w:szCs w:val="24"/>
        </w:rPr>
      </w:pPr>
      <w:r w:rsidRPr="001D25DB">
        <w:rPr>
          <w:rFonts w:ascii="Arial" w:hAnsi="Arial" w:cs="Arial"/>
          <w:b/>
          <w:bCs/>
          <w:color w:val="auto"/>
          <w:sz w:val="24"/>
          <w:szCs w:val="24"/>
        </w:rPr>
        <w:t xml:space="preserve">Examples of circumstances in which an </w:t>
      </w:r>
      <w:r w:rsidR="00E1413C" w:rsidRPr="001D25DB">
        <w:rPr>
          <w:rFonts w:ascii="Arial" w:hAnsi="Arial" w:cs="Arial"/>
          <w:b/>
          <w:bCs/>
          <w:color w:val="auto"/>
          <w:sz w:val="24"/>
          <w:szCs w:val="24"/>
        </w:rPr>
        <w:t>digital/</w:t>
      </w:r>
      <w:r w:rsidRPr="001D25DB">
        <w:rPr>
          <w:rFonts w:ascii="Arial" w:hAnsi="Arial" w:cs="Arial"/>
          <w:b/>
          <w:bCs/>
          <w:color w:val="auto"/>
          <w:sz w:val="24"/>
          <w:szCs w:val="24"/>
        </w:rPr>
        <w:t xml:space="preserve">online viva voce may be deemed appropriate. </w:t>
      </w:r>
    </w:p>
    <w:p w14:paraId="7BC2D8DD" w14:textId="77777777" w:rsidR="00E669A4" w:rsidRDefault="00E669A4" w:rsidP="00E669A4">
      <w:pPr>
        <w:rPr>
          <w:rFonts w:cs="Arial"/>
          <w:sz w:val="22"/>
        </w:rPr>
      </w:pPr>
      <w:r>
        <w:rPr>
          <w:rFonts w:cs="Arial"/>
          <w:sz w:val="22"/>
        </w:rPr>
        <w:t>An online</w:t>
      </w:r>
      <w:r w:rsidRPr="00895A9B">
        <w:rPr>
          <w:rFonts w:cs="Arial"/>
          <w:sz w:val="22"/>
        </w:rPr>
        <w:t xml:space="preserve"> viva voce examination would be considered appropriate when local, national or international travel restrictions </w:t>
      </w:r>
      <w:r>
        <w:rPr>
          <w:rFonts w:cs="Arial"/>
          <w:sz w:val="22"/>
        </w:rPr>
        <w:t xml:space="preserve">or emergencies occur </w:t>
      </w:r>
      <w:r w:rsidRPr="00895A9B">
        <w:rPr>
          <w:rFonts w:cs="Arial"/>
          <w:sz w:val="22"/>
        </w:rPr>
        <w:t xml:space="preserve">that affect or preclude the attendance of any of the key participants </w:t>
      </w:r>
      <w:r w:rsidRPr="5DB29535">
        <w:rPr>
          <w:rFonts w:cs="Arial"/>
          <w:sz w:val="22"/>
        </w:rPr>
        <w:t xml:space="preserve">(candidate, internal or external examiners) </w:t>
      </w:r>
      <w:r w:rsidRPr="00895A9B">
        <w:rPr>
          <w:rFonts w:cs="Arial"/>
          <w:sz w:val="22"/>
        </w:rPr>
        <w:t>in person</w:t>
      </w:r>
      <w:r w:rsidRPr="5DB29535">
        <w:rPr>
          <w:rFonts w:cs="Arial"/>
          <w:sz w:val="22"/>
        </w:rPr>
        <w:t>.</w:t>
      </w:r>
      <w:r w:rsidRPr="00895A9B">
        <w:rPr>
          <w:rFonts w:cs="Arial"/>
          <w:sz w:val="22"/>
        </w:rPr>
        <w:t xml:space="preserve"> </w:t>
      </w:r>
    </w:p>
    <w:p w14:paraId="7D068B52" w14:textId="77777777" w:rsidR="00E669A4" w:rsidRDefault="00E669A4" w:rsidP="00E669A4">
      <w:pPr>
        <w:rPr>
          <w:rFonts w:cs="Arial"/>
          <w:sz w:val="22"/>
        </w:rPr>
      </w:pPr>
      <w:r>
        <w:rPr>
          <w:rFonts w:cs="Arial"/>
          <w:sz w:val="22"/>
        </w:rPr>
        <w:t>Online</w:t>
      </w:r>
      <w:r w:rsidRPr="00895A9B">
        <w:rPr>
          <w:rFonts w:cs="Arial"/>
          <w:sz w:val="22"/>
        </w:rPr>
        <w:t xml:space="preserve"> vivas may also be considered appropriate under circumstances other than </w:t>
      </w:r>
      <w:r>
        <w:rPr>
          <w:rFonts w:cs="Arial"/>
          <w:sz w:val="22"/>
        </w:rPr>
        <w:t xml:space="preserve">such </w:t>
      </w:r>
      <w:r w:rsidRPr="00895A9B">
        <w:rPr>
          <w:rFonts w:cs="Arial"/>
          <w:sz w:val="22"/>
        </w:rPr>
        <w:t xml:space="preserve">national/international emergencies, and may be arranged </w:t>
      </w:r>
      <w:r>
        <w:rPr>
          <w:rFonts w:cs="Arial"/>
          <w:sz w:val="22"/>
        </w:rPr>
        <w:t xml:space="preserve">under the following circumstances (but not necessarily limited to these): </w:t>
      </w:r>
      <w:r w:rsidRPr="00895A9B">
        <w:rPr>
          <w:rFonts w:cs="Arial"/>
          <w:sz w:val="22"/>
        </w:rPr>
        <w:t xml:space="preserve"> </w:t>
      </w:r>
    </w:p>
    <w:p w14:paraId="7F1BBE7F" w14:textId="77777777" w:rsidR="00E669A4" w:rsidRPr="00194303" w:rsidRDefault="00E669A4" w:rsidP="00E669A4">
      <w:pPr>
        <w:pStyle w:val="ListParagraph"/>
        <w:numPr>
          <w:ilvl w:val="0"/>
          <w:numId w:val="1"/>
        </w:numPr>
        <w:spacing w:after="0"/>
        <w:rPr>
          <w:rFonts w:cs="Arial"/>
          <w:sz w:val="22"/>
        </w:rPr>
      </w:pPr>
      <w:r w:rsidRPr="00194303">
        <w:rPr>
          <w:rFonts w:cs="Arial"/>
          <w:sz w:val="22"/>
        </w:rPr>
        <w:t xml:space="preserve">one of the parties cannot travel for justifiable reasons; </w:t>
      </w:r>
    </w:p>
    <w:p w14:paraId="66681C20" w14:textId="1989E5F5" w:rsidR="00E669A4" w:rsidRPr="00194303" w:rsidRDefault="00E669A4" w:rsidP="00E669A4">
      <w:pPr>
        <w:pStyle w:val="ListParagraph"/>
        <w:numPr>
          <w:ilvl w:val="0"/>
          <w:numId w:val="1"/>
        </w:numPr>
        <w:spacing w:after="0"/>
        <w:rPr>
          <w:rFonts w:cs="Arial"/>
          <w:sz w:val="22"/>
        </w:rPr>
      </w:pPr>
      <w:r w:rsidRPr="00194303">
        <w:rPr>
          <w:rFonts w:cs="Arial"/>
          <w:sz w:val="22"/>
        </w:rPr>
        <w:t>where travel costs</w:t>
      </w:r>
      <w:r w:rsidR="00A94905">
        <w:rPr>
          <w:rFonts w:cs="Arial"/>
          <w:sz w:val="22"/>
        </w:rPr>
        <w:t xml:space="preserve">, </w:t>
      </w:r>
      <w:r w:rsidRPr="00194303">
        <w:rPr>
          <w:rFonts w:cs="Arial"/>
          <w:sz w:val="22"/>
        </w:rPr>
        <w:t xml:space="preserve">visa delays </w:t>
      </w:r>
      <w:r w:rsidR="00A94905">
        <w:rPr>
          <w:rFonts w:cs="Arial"/>
          <w:sz w:val="22"/>
        </w:rPr>
        <w:t xml:space="preserve">or travel restrictions </w:t>
      </w:r>
      <w:r w:rsidRPr="00194303">
        <w:rPr>
          <w:rFonts w:cs="Arial"/>
          <w:sz w:val="22"/>
        </w:rPr>
        <w:t>might prohibit the appointment</w:t>
      </w:r>
      <w:r>
        <w:rPr>
          <w:rFonts w:cs="Arial"/>
          <w:sz w:val="22"/>
        </w:rPr>
        <w:t xml:space="preserve"> and/or </w:t>
      </w:r>
      <w:r w:rsidRPr="00194303">
        <w:rPr>
          <w:rFonts w:cs="Arial"/>
          <w:sz w:val="22"/>
        </w:rPr>
        <w:t xml:space="preserve">participation of the most suitable external examiner or the PGR; </w:t>
      </w:r>
    </w:p>
    <w:p w14:paraId="430BD98E" w14:textId="77777777" w:rsidR="00E669A4" w:rsidRPr="00194303" w:rsidRDefault="00E669A4" w:rsidP="00E669A4">
      <w:pPr>
        <w:pStyle w:val="ListParagraph"/>
        <w:numPr>
          <w:ilvl w:val="0"/>
          <w:numId w:val="1"/>
        </w:numPr>
        <w:spacing w:after="0"/>
        <w:rPr>
          <w:rFonts w:cs="Arial"/>
          <w:sz w:val="22"/>
        </w:rPr>
      </w:pPr>
      <w:r w:rsidRPr="00194303">
        <w:rPr>
          <w:rFonts w:cs="Arial"/>
          <w:sz w:val="22"/>
        </w:rPr>
        <w:t>other commitments preclude all parties being in the same place within an acceptable time frame</w:t>
      </w:r>
      <w:r>
        <w:rPr>
          <w:rFonts w:cs="Arial"/>
          <w:sz w:val="22"/>
        </w:rPr>
        <w:t xml:space="preserve"> (i.e. within 3 months of thesis submission)</w:t>
      </w:r>
      <w:r w:rsidRPr="00194303">
        <w:rPr>
          <w:rFonts w:cs="Arial"/>
          <w:sz w:val="22"/>
        </w:rPr>
        <w:t>.</w:t>
      </w:r>
    </w:p>
    <w:p w14:paraId="38A605F0" w14:textId="77777777" w:rsidR="00E669A4" w:rsidRDefault="00E669A4" w:rsidP="00E669A4">
      <w:pPr>
        <w:rPr>
          <w:rFonts w:cs="Arial"/>
          <w:b/>
          <w:bCs/>
          <w:sz w:val="22"/>
        </w:rPr>
      </w:pPr>
    </w:p>
    <w:p w14:paraId="543E8A80" w14:textId="77777777" w:rsidR="00E669A4" w:rsidRPr="001D25DB" w:rsidRDefault="00E669A4" w:rsidP="001D25DB">
      <w:pPr>
        <w:pStyle w:val="Heading1"/>
        <w:rPr>
          <w:rFonts w:ascii="Arial" w:hAnsi="Arial" w:cs="Arial"/>
          <w:b/>
          <w:bCs/>
          <w:color w:val="auto"/>
          <w:sz w:val="24"/>
          <w:szCs w:val="24"/>
        </w:rPr>
      </w:pPr>
      <w:r w:rsidRPr="001D25DB">
        <w:rPr>
          <w:rFonts w:ascii="Arial" w:hAnsi="Arial" w:cs="Arial"/>
          <w:b/>
          <w:bCs/>
          <w:color w:val="auto"/>
          <w:sz w:val="24"/>
          <w:szCs w:val="24"/>
        </w:rPr>
        <w:t>Guidance on the conduct of remote viva voce examinations using online platforms:</w:t>
      </w:r>
    </w:p>
    <w:p w14:paraId="7E5420D2" w14:textId="77777777" w:rsidR="00E669A4" w:rsidRDefault="00E669A4" w:rsidP="00E669A4">
      <w:pPr>
        <w:ind w:left="142"/>
        <w:rPr>
          <w:rFonts w:cs="Arial"/>
          <w:sz w:val="22"/>
        </w:rPr>
      </w:pPr>
      <w:r>
        <w:rPr>
          <w:rFonts w:cs="Arial"/>
          <w:sz w:val="22"/>
        </w:rPr>
        <w:t>In deciding whether to conduct a viva voce examination digitally/online t</w:t>
      </w:r>
      <w:r w:rsidRPr="00895A9B">
        <w:rPr>
          <w:rFonts w:cs="Arial"/>
          <w:sz w:val="22"/>
        </w:rPr>
        <w:t>he prime consideration</w:t>
      </w:r>
      <w:r>
        <w:rPr>
          <w:rFonts w:cs="Arial"/>
          <w:sz w:val="22"/>
        </w:rPr>
        <w:t>s</w:t>
      </w:r>
      <w:r w:rsidRPr="00895A9B">
        <w:rPr>
          <w:rFonts w:cs="Arial"/>
          <w:sz w:val="22"/>
        </w:rPr>
        <w:t xml:space="preserve"> should be the quality</w:t>
      </w:r>
      <w:r>
        <w:rPr>
          <w:rFonts w:cs="Arial"/>
          <w:sz w:val="22"/>
        </w:rPr>
        <w:t xml:space="preserve">, </w:t>
      </w:r>
      <w:r w:rsidRPr="00895A9B">
        <w:rPr>
          <w:rFonts w:cs="Arial"/>
          <w:sz w:val="22"/>
        </w:rPr>
        <w:t>rigour</w:t>
      </w:r>
      <w:r>
        <w:rPr>
          <w:rFonts w:cs="Arial"/>
          <w:sz w:val="22"/>
        </w:rPr>
        <w:t xml:space="preserve"> and timeliness</w:t>
      </w:r>
      <w:r w:rsidRPr="00895A9B">
        <w:rPr>
          <w:rFonts w:cs="Arial"/>
          <w:sz w:val="22"/>
        </w:rPr>
        <w:t xml:space="preserve"> of the assessment process for the PGR. </w:t>
      </w:r>
      <w:r>
        <w:rPr>
          <w:rFonts w:cs="Arial"/>
          <w:sz w:val="22"/>
        </w:rPr>
        <w:t xml:space="preserve"> </w:t>
      </w:r>
    </w:p>
    <w:p w14:paraId="7C7C0DB3" w14:textId="32264D90" w:rsidR="00E669A4" w:rsidRPr="00B9312B" w:rsidRDefault="00E669A4" w:rsidP="00E669A4">
      <w:pPr>
        <w:ind w:left="142"/>
        <w:rPr>
          <w:rFonts w:cs="Arial"/>
          <w:strike/>
          <w:sz w:val="22"/>
        </w:rPr>
      </w:pPr>
      <w:r w:rsidRPr="003D370B">
        <w:rPr>
          <w:rFonts w:cs="Arial"/>
          <w:sz w:val="22"/>
        </w:rPr>
        <w:t xml:space="preserve">Hybrid viva conditions </w:t>
      </w:r>
      <w:r w:rsidR="004B21B0">
        <w:rPr>
          <w:rFonts w:cs="Arial"/>
          <w:sz w:val="22"/>
        </w:rPr>
        <w:t xml:space="preserve">with only the candidate </w:t>
      </w:r>
      <w:r w:rsidR="00626DE3">
        <w:rPr>
          <w:rFonts w:cs="Arial"/>
          <w:sz w:val="22"/>
        </w:rPr>
        <w:t>located remotely are not permitted. If a hybrid viva</w:t>
      </w:r>
      <w:r>
        <w:rPr>
          <w:rFonts w:cs="Arial"/>
          <w:sz w:val="22"/>
        </w:rPr>
        <w:t xml:space="preserve"> is unavoidable, </w:t>
      </w:r>
      <w:r w:rsidRPr="00895A9B">
        <w:rPr>
          <w:rFonts w:cs="Arial"/>
          <w:sz w:val="22"/>
        </w:rPr>
        <w:t xml:space="preserve">if </w:t>
      </w:r>
      <w:r>
        <w:rPr>
          <w:rFonts w:cs="Arial"/>
          <w:sz w:val="22"/>
        </w:rPr>
        <w:t xml:space="preserve">and where </w:t>
      </w:r>
      <w:r w:rsidRPr="00895A9B">
        <w:rPr>
          <w:rFonts w:cs="Arial"/>
          <w:sz w:val="22"/>
        </w:rPr>
        <w:t xml:space="preserve">possible, the candidate should be co-located with either the internal examiner or Independent Chair.  </w:t>
      </w:r>
    </w:p>
    <w:p w14:paraId="3E267E25" w14:textId="77777777" w:rsidR="00E669A4" w:rsidRPr="00895A9B" w:rsidRDefault="00E669A4" w:rsidP="00E669A4">
      <w:pPr>
        <w:ind w:left="142"/>
        <w:rPr>
          <w:rFonts w:cs="Arial"/>
          <w:sz w:val="22"/>
        </w:rPr>
      </w:pPr>
      <w:r w:rsidRPr="00895A9B">
        <w:rPr>
          <w:rFonts w:cs="Arial"/>
          <w:sz w:val="22"/>
        </w:rPr>
        <w:t xml:space="preserve">If there is disagreement in whether the viva voce should be conducted with some or all parties located remotely, then the view of the PGR and the external examiner should carry greatest weight in reaching a decision. If a resolution cannot be reached on the format of the viva, then the Head of School or their </w:t>
      </w:r>
      <w:r>
        <w:rPr>
          <w:rFonts w:cs="Arial"/>
          <w:sz w:val="22"/>
        </w:rPr>
        <w:t>delegate</w:t>
      </w:r>
      <w:r w:rsidRPr="00895A9B">
        <w:rPr>
          <w:rFonts w:cs="Arial"/>
          <w:sz w:val="22"/>
        </w:rPr>
        <w:t xml:space="preserve"> should reach a decision based on the reasons given by the parties involved. </w:t>
      </w:r>
    </w:p>
    <w:p w14:paraId="65C21D7E" w14:textId="77777777" w:rsidR="00E669A4" w:rsidRDefault="00E669A4" w:rsidP="00E669A4">
      <w:pPr>
        <w:ind w:left="142"/>
        <w:rPr>
          <w:rFonts w:cs="Arial"/>
          <w:sz w:val="22"/>
        </w:rPr>
      </w:pPr>
      <w:r w:rsidRPr="00895A9B">
        <w:rPr>
          <w:rFonts w:cs="Arial"/>
          <w:sz w:val="22"/>
        </w:rPr>
        <w:t xml:space="preserve">No recordings of the examination must take place by any party. </w:t>
      </w:r>
    </w:p>
    <w:p w14:paraId="62F2529F" w14:textId="77777777" w:rsidR="00E669A4" w:rsidRPr="00FE1549" w:rsidRDefault="00E669A4" w:rsidP="00E669A4">
      <w:pPr>
        <w:ind w:left="142"/>
        <w:rPr>
          <w:rFonts w:cs="Arial"/>
          <w:sz w:val="22"/>
        </w:rPr>
      </w:pPr>
      <w:r w:rsidRPr="00895A9B">
        <w:rPr>
          <w:rFonts w:cs="Arial"/>
          <w:sz w:val="22"/>
        </w:rPr>
        <w:t xml:space="preserve">The viva should be scheduled at a mutually agreed time that is reasonable to the time zone in which the candidate is located.  </w:t>
      </w:r>
    </w:p>
    <w:p w14:paraId="05589487" w14:textId="77777777" w:rsidR="00E669A4" w:rsidRPr="001D25DB" w:rsidRDefault="00E669A4" w:rsidP="001D25DB">
      <w:pPr>
        <w:pStyle w:val="Heading1"/>
        <w:rPr>
          <w:rFonts w:ascii="Arial" w:hAnsi="Arial" w:cs="Arial"/>
          <w:b/>
          <w:bCs/>
          <w:color w:val="auto"/>
          <w:sz w:val="24"/>
          <w:szCs w:val="24"/>
        </w:rPr>
      </w:pPr>
      <w:r w:rsidRPr="001D25DB">
        <w:rPr>
          <w:rFonts w:ascii="Arial" w:hAnsi="Arial" w:cs="Arial"/>
          <w:b/>
          <w:bCs/>
          <w:color w:val="auto"/>
          <w:sz w:val="24"/>
          <w:szCs w:val="24"/>
        </w:rPr>
        <w:t>Before the viva</w:t>
      </w:r>
    </w:p>
    <w:p w14:paraId="3246AEB3" w14:textId="3C3EEF58" w:rsidR="00E669A4" w:rsidRPr="009F1611" w:rsidRDefault="00E669A4" w:rsidP="00E669A4">
      <w:pPr>
        <w:ind w:left="142"/>
        <w:rPr>
          <w:rFonts w:cs="Arial"/>
          <w:sz w:val="22"/>
        </w:rPr>
      </w:pPr>
      <w:r w:rsidRPr="009F1611">
        <w:rPr>
          <w:rFonts w:cs="Arial"/>
          <w:sz w:val="22"/>
        </w:rPr>
        <w:t xml:space="preserve">Any presentation that the candidate is expected to make as part of the viva must be sent </w:t>
      </w:r>
      <w:r w:rsidR="008369E6">
        <w:rPr>
          <w:rFonts w:cs="Arial"/>
          <w:sz w:val="22"/>
        </w:rPr>
        <w:t xml:space="preserve">at least 1 week </w:t>
      </w:r>
      <w:r w:rsidRPr="006D05D0">
        <w:rPr>
          <w:rFonts w:cs="Arial"/>
          <w:sz w:val="22"/>
        </w:rPr>
        <w:t>in advance</w:t>
      </w:r>
      <w:r w:rsidR="002103A9">
        <w:rPr>
          <w:rFonts w:cs="Arial"/>
          <w:sz w:val="22"/>
        </w:rPr>
        <w:t xml:space="preserve"> of the viva</w:t>
      </w:r>
      <w:r w:rsidRPr="009F1611">
        <w:rPr>
          <w:rFonts w:cs="Arial"/>
          <w:sz w:val="22"/>
        </w:rPr>
        <w:t xml:space="preserve"> to the Independent Chair who is responsible for sharing it with the examiners. The purpose of this is to facilitate all parties having the presentation ready to view during the viva, rather than to assess it in advance.</w:t>
      </w:r>
    </w:p>
    <w:p w14:paraId="5CA8D095" w14:textId="77777777" w:rsidR="00E669A4" w:rsidRPr="001D25DB" w:rsidRDefault="00E669A4" w:rsidP="001D25DB">
      <w:pPr>
        <w:pStyle w:val="Heading1"/>
        <w:rPr>
          <w:rFonts w:ascii="Arial" w:hAnsi="Arial" w:cs="Arial"/>
          <w:b/>
          <w:bCs/>
          <w:color w:val="auto"/>
          <w:sz w:val="24"/>
          <w:szCs w:val="24"/>
        </w:rPr>
      </w:pPr>
      <w:bookmarkStart w:id="0" w:name="_During_the_viva"/>
      <w:bookmarkEnd w:id="0"/>
      <w:r w:rsidRPr="001D25DB">
        <w:rPr>
          <w:rFonts w:ascii="Arial" w:hAnsi="Arial" w:cs="Arial"/>
          <w:b/>
          <w:bCs/>
          <w:color w:val="auto"/>
          <w:sz w:val="24"/>
          <w:szCs w:val="24"/>
        </w:rPr>
        <w:lastRenderedPageBreak/>
        <w:t xml:space="preserve">During the viva </w:t>
      </w:r>
    </w:p>
    <w:p w14:paraId="5356CFE0" w14:textId="7376F220" w:rsidR="00E669A4" w:rsidRPr="00895A9B" w:rsidRDefault="00E669A4" w:rsidP="00E669A4">
      <w:pPr>
        <w:ind w:left="142"/>
        <w:rPr>
          <w:rFonts w:cs="Arial"/>
          <w:sz w:val="22"/>
        </w:rPr>
      </w:pPr>
      <w:r w:rsidRPr="00895A9B">
        <w:rPr>
          <w:rFonts w:cs="Arial"/>
          <w:sz w:val="22"/>
        </w:rPr>
        <w:t>The purpose of the viva and its conduct remain</w:t>
      </w:r>
      <w:r>
        <w:rPr>
          <w:rFonts w:cs="Arial"/>
          <w:sz w:val="22"/>
        </w:rPr>
        <w:t>s</w:t>
      </w:r>
      <w:r w:rsidRPr="00895A9B">
        <w:rPr>
          <w:rFonts w:cs="Arial"/>
          <w:sz w:val="22"/>
        </w:rPr>
        <w:t xml:space="preserve"> as per the standard guidance in the </w:t>
      </w:r>
      <w:hyperlink r:id="rId11" w:history="1">
        <w:r w:rsidRPr="00D16FA8">
          <w:rPr>
            <w:rStyle w:val="Hyperlink"/>
            <w:rFonts w:cs="Arial"/>
            <w:sz w:val="22"/>
          </w:rPr>
          <w:t>Quality Manual:</w:t>
        </w:r>
      </w:hyperlink>
    </w:p>
    <w:p w14:paraId="4471A5DB" w14:textId="77777777" w:rsidR="00E669A4" w:rsidRPr="00895A9B" w:rsidRDefault="00E669A4" w:rsidP="00E669A4">
      <w:pPr>
        <w:ind w:left="142"/>
        <w:rPr>
          <w:rFonts w:cs="Arial"/>
          <w:sz w:val="22"/>
        </w:rPr>
      </w:pPr>
      <w:r w:rsidRPr="00895A9B">
        <w:rPr>
          <w:rFonts w:cs="Arial"/>
          <w:sz w:val="22"/>
        </w:rPr>
        <w:t xml:space="preserve">If the viva has to be halted due to a breakdown in the connection or the quality of the connection, the Independent Chair should subsequently consult with the examiners via an alternative conversation, using an alternative method (e.g. telephone), if necessary.  The examiners should decide whether there is a need to re-convene at another date or whether sufficient discussion had taken place by the point of the communication loss that further examination would not change their decision.  In arriving at the latter decision, the examiners should base the decision on the degree to which the candidate met the requirements and outcomes of the doctoral/MPhil/MRes degree and not the extent to which they had covered the contents of the thesis.  </w:t>
      </w:r>
    </w:p>
    <w:p w14:paraId="56F4A876" w14:textId="77777777" w:rsidR="00E669A4" w:rsidRPr="00F55E74" w:rsidRDefault="00E669A4" w:rsidP="00E669A4">
      <w:pPr>
        <w:ind w:left="142"/>
        <w:rPr>
          <w:rFonts w:cs="Arial"/>
          <w:sz w:val="22"/>
        </w:rPr>
      </w:pPr>
      <w:r w:rsidRPr="00F55E74">
        <w:rPr>
          <w:rFonts w:cs="Arial"/>
          <w:sz w:val="22"/>
        </w:rPr>
        <w:t xml:space="preserve">If it is agreed that further examination is not necessary, the decision and examination recommendation should be communicated by the examiners to the candidate as soon as possible, in the presence of the Independent Chair. </w:t>
      </w:r>
    </w:p>
    <w:p w14:paraId="02EF91E9" w14:textId="77777777" w:rsidR="00E669A4" w:rsidRPr="00F55E74" w:rsidRDefault="00E669A4" w:rsidP="00E669A4">
      <w:pPr>
        <w:ind w:left="142"/>
        <w:rPr>
          <w:rFonts w:cs="Arial"/>
          <w:sz w:val="22"/>
        </w:rPr>
      </w:pPr>
      <w:r w:rsidRPr="00F55E74">
        <w:rPr>
          <w:rFonts w:cs="Arial"/>
          <w:sz w:val="22"/>
        </w:rPr>
        <w:t xml:space="preserve">If it is agreed that the viva needs to be re-scheduled this should also be at a mutually agreed time for all parties. The Independent Chair should communicate the outcome of this decision to the candidate as soon as possible.    </w:t>
      </w:r>
    </w:p>
    <w:p w14:paraId="3BBD3F5B" w14:textId="77777777" w:rsidR="00E669A4" w:rsidRPr="001D25DB" w:rsidRDefault="00E669A4" w:rsidP="001D25DB">
      <w:pPr>
        <w:pStyle w:val="Heading1"/>
        <w:rPr>
          <w:rFonts w:ascii="Arial" w:hAnsi="Arial" w:cs="Arial"/>
          <w:b/>
          <w:bCs/>
          <w:color w:val="auto"/>
          <w:sz w:val="24"/>
          <w:szCs w:val="24"/>
        </w:rPr>
      </w:pPr>
      <w:r w:rsidRPr="001D25DB">
        <w:rPr>
          <w:rFonts w:ascii="Arial" w:hAnsi="Arial" w:cs="Arial"/>
          <w:b/>
          <w:bCs/>
          <w:color w:val="auto"/>
          <w:sz w:val="24"/>
          <w:szCs w:val="24"/>
        </w:rPr>
        <w:t>External and Internal examiner discussion</w:t>
      </w:r>
    </w:p>
    <w:p w14:paraId="66346A3D" w14:textId="77777777" w:rsidR="00E669A4" w:rsidRPr="00895A9B" w:rsidRDefault="00E669A4" w:rsidP="00E669A4">
      <w:pPr>
        <w:ind w:left="142"/>
        <w:rPr>
          <w:rFonts w:cs="Arial"/>
          <w:sz w:val="22"/>
        </w:rPr>
      </w:pPr>
      <w:r w:rsidRPr="00895A9B">
        <w:rPr>
          <w:rFonts w:cs="Arial"/>
          <w:sz w:val="22"/>
        </w:rPr>
        <w:t xml:space="preserve">In order that the examiners can discuss the candidate’s performance, the candidate must leave the digital/online call and the Independent Chair must confirm that this has happened.  The candidate should be advised how they will be contacted to invite them back into the digital/online meeting and given an approximate time when this will happen.  </w:t>
      </w:r>
    </w:p>
    <w:p w14:paraId="03DC9163" w14:textId="6A258DA5" w:rsidR="00E669A4" w:rsidRPr="00895A9B" w:rsidRDefault="00E669A4" w:rsidP="00E669A4">
      <w:pPr>
        <w:ind w:left="142"/>
        <w:rPr>
          <w:rFonts w:cs="Arial"/>
          <w:sz w:val="22"/>
        </w:rPr>
      </w:pPr>
      <w:r w:rsidRPr="00895A9B">
        <w:rPr>
          <w:rFonts w:cs="Arial"/>
          <w:sz w:val="22"/>
        </w:rPr>
        <w:t xml:space="preserve">It is recommended that the examiners and Independent Chair consider whether a separate video/conference call meeting would be preferable to continuing in the one in which the viva has taken place, and </w:t>
      </w:r>
      <w:r w:rsidR="00D544E6" w:rsidRPr="00D16FA8">
        <w:rPr>
          <w:rFonts w:cs="Arial"/>
          <w:sz w:val="22"/>
        </w:rPr>
        <w:t>to</w:t>
      </w:r>
      <w:r w:rsidR="00D544E6">
        <w:rPr>
          <w:rFonts w:cs="Arial"/>
          <w:sz w:val="22"/>
        </w:rPr>
        <w:t xml:space="preserve"> </w:t>
      </w:r>
      <w:r w:rsidRPr="00895A9B">
        <w:rPr>
          <w:rFonts w:cs="Arial"/>
          <w:sz w:val="22"/>
        </w:rPr>
        <w:t xml:space="preserve">which the candidate has access. </w:t>
      </w:r>
    </w:p>
    <w:p w14:paraId="3FC233AB" w14:textId="7915F7BA" w:rsidR="00E669A4" w:rsidRPr="00895A9B" w:rsidRDefault="00E669A4" w:rsidP="00E669A4">
      <w:pPr>
        <w:ind w:left="142"/>
        <w:rPr>
          <w:rFonts w:cs="Arial"/>
          <w:sz w:val="22"/>
        </w:rPr>
      </w:pPr>
      <w:r w:rsidRPr="00895A9B">
        <w:rPr>
          <w:rFonts w:cs="Arial"/>
          <w:sz w:val="22"/>
        </w:rPr>
        <w:t xml:space="preserve">The Independent Chair must be party to the post viva discussion to ensure that any decisions are based solely on the candidate’s performance and the extent to which the </w:t>
      </w:r>
      <w:hyperlink r:id="rId12" w:history="1">
        <w:r w:rsidRPr="00D16FA8">
          <w:rPr>
            <w:rStyle w:val="Hyperlink"/>
            <w:rFonts w:cs="Arial"/>
            <w:sz w:val="22"/>
          </w:rPr>
          <w:t>required outcomes</w:t>
        </w:r>
      </w:hyperlink>
      <w:r w:rsidRPr="00895A9B">
        <w:rPr>
          <w:rFonts w:cs="Arial"/>
          <w:sz w:val="22"/>
        </w:rPr>
        <w:t xml:space="preserve"> have been met, and do not reflect issues related to the format of the viva.</w:t>
      </w:r>
    </w:p>
    <w:p w14:paraId="18450383" w14:textId="77777777" w:rsidR="00E669A4" w:rsidRPr="001D25DB" w:rsidRDefault="00E669A4" w:rsidP="001D25DB">
      <w:pPr>
        <w:pStyle w:val="Heading1"/>
        <w:rPr>
          <w:rFonts w:ascii="Arial" w:hAnsi="Arial" w:cs="Arial"/>
          <w:b/>
          <w:bCs/>
          <w:color w:val="auto"/>
          <w:sz w:val="24"/>
          <w:szCs w:val="24"/>
        </w:rPr>
      </w:pPr>
      <w:r w:rsidRPr="001D25DB">
        <w:rPr>
          <w:rFonts w:ascii="Arial" w:hAnsi="Arial" w:cs="Arial"/>
          <w:b/>
          <w:bCs/>
          <w:color w:val="auto"/>
          <w:sz w:val="24"/>
          <w:szCs w:val="24"/>
        </w:rPr>
        <w:t xml:space="preserve">Communication of the decision </w:t>
      </w:r>
    </w:p>
    <w:p w14:paraId="2AA46AA5" w14:textId="77777777" w:rsidR="00E669A4" w:rsidRPr="00895A9B" w:rsidRDefault="00E669A4" w:rsidP="00E669A4">
      <w:pPr>
        <w:ind w:left="142"/>
        <w:rPr>
          <w:rFonts w:cs="Arial"/>
          <w:sz w:val="22"/>
        </w:rPr>
      </w:pPr>
      <w:r w:rsidRPr="00895A9B">
        <w:rPr>
          <w:rFonts w:cs="Arial"/>
          <w:sz w:val="22"/>
        </w:rPr>
        <w:t xml:space="preserve">The candidate should be contacted and invited to re-join the digital/online meeting. They may be accompanied by a supporter/observer who, if present, should be introduced to the examiners and Chair before proceeding. </w:t>
      </w:r>
    </w:p>
    <w:p w14:paraId="009BFC4F" w14:textId="26657FD6" w:rsidR="00E669A4" w:rsidRPr="0025559B" w:rsidRDefault="00E669A4" w:rsidP="0025559B">
      <w:pPr>
        <w:ind w:left="142"/>
        <w:rPr>
          <w:rFonts w:cs="Arial"/>
          <w:b/>
          <w:bCs/>
          <w:sz w:val="22"/>
        </w:rPr>
      </w:pPr>
      <w:r w:rsidRPr="00895A9B">
        <w:rPr>
          <w:rFonts w:cs="Arial"/>
          <w:sz w:val="22"/>
        </w:rPr>
        <w:t xml:space="preserve">Candidates should be informed of the </w:t>
      </w:r>
      <w:r w:rsidR="00FA554E">
        <w:rPr>
          <w:rFonts w:cs="Arial"/>
          <w:sz w:val="22"/>
        </w:rPr>
        <w:t xml:space="preserve">recommended </w:t>
      </w:r>
      <w:r w:rsidRPr="00895A9B">
        <w:rPr>
          <w:rFonts w:cs="Arial"/>
          <w:sz w:val="22"/>
        </w:rPr>
        <w:t>outcome of their examination as soon as possible</w:t>
      </w:r>
      <w:r w:rsidRPr="0025559B">
        <w:rPr>
          <w:rFonts w:cs="Arial"/>
          <w:sz w:val="22"/>
        </w:rPr>
        <w:t>.  The</w:t>
      </w:r>
      <w:r w:rsidRPr="00895A9B">
        <w:rPr>
          <w:rFonts w:cs="Arial"/>
          <w:sz w:val="22"/>
        </w:rPr>
        <w:t xml:space="preserve"> possible outcomes and procedures to be followed are the same as for a standard viva as detailed in the </w:t>
      </w:r>
      <w:hyperlink r:id="rId13" w:history="1">
        <w:r w:rsidRPr="00D16FA8">
          <w:rPr>
            <w:rStyle w:val="Hyperlink"/>
            <w:rFonts w:cs="Arial"/>
            <w:sz w:val="22"/>
          </w:rPr>
          <w:t>Quality Manual</w:t>
        </w:r>
      </w:hyperlink>
      <w:r w:rsidR="0025559B">
        <w:rPr>
          <w:rFonts w:cs="Arial"/>
          <w:sz w:val="22"/>
        </w:rPr>
        <w:t xml:space="preserve"> </w:t>
      </w:r>
      <w:r w:rsidR="0025559B" w:rsidRPr="0025559B">
        <w:rPr>
          <w:rFonts w:cs="Arial"/>
          <w:sz w:val="22"/>
        </w:rPr>
        <w:t>(Regulation 3</w:t>
      </w:r>
      <w:r w:rsidR="00402228">
        <w:rPr>
          <w:rFonts w:cs="Arial"/>
          <w:sz w:val="22"/>
        </w:rPr>
        <w:t>1</w:t>
      </w:r>
      <w:r w:rsidR="0025559B" w:rsidRPr="0025559B">
        <w:rPr>
          <w:rFonts w:cs="Arial"/>
          <w:sz w:val="22"/>
        </w:rPr>
        <w:t xml:space="preserve"> in Regulations for the Degree of Doctor of Philosophy (PhD) and Master of Philosophy (MPhil)</w:t>
      </w:r>
      <w:r w:rsidR="0025559B">
        <w:rPr>
          <w:rFonts w:cs="Arial"/>
          <w:sz w:val="22"/>
        </w:rPr>
        <w:t>.</w:t>
      </w:r>
      <w:r w:rsidRPr="00895A9B">
        <w:rPr>
          <w:rFonts w:cs="Arial"/>
          <w:sz w:val="22"/>
        </w:rPr>
        <w:t xml:space="preserve"> </w:t>
      </w:r>
    </w:p>
    <w:p w14:paraId="6B96CE4A" w14:textId="5FF311F4" w:rsidR="00DD288D" w:rsidRPr="00895A9B" w:rsidRDefault="00DD288D" w:rsidP="00E669A4">
      <w:pPr>
        <w:ind w:left="142"/>
        <w:rPr>
          <w:rFonts w:cs="Arial"/>
          <w:sz w:val="22"/>
        </w:rPr>
      </w:pPr>
      <w:r>
        <w:rPr>
          <w:rFonts w:cs="Arial"/>
          <w:sz w:val="22"/>
        </w:rPr>
        <w:t xml:space="preserve">The supervisor(s) can be invited to be present </w:t>
      </w:r>
      <w:r w:rsidR="00A00031">
        <w:rPr>
          <w:rFonts w:cs="Arial"/>
          <w:sz w:val="22"/>
        </w:rPr>
        <w:t xml:space="preserve">for the communication of the outcome. This is recommended if the outcome is </w:t>
      </w:r>
      <w:r w:rsidR="0025154D">
        <w:rPr>
          <w:rFonts w:cs="Arial"/>
          <w:sz w:val="22"/>
        </w:rPr>
        <w:t xml:space="preserve">likely to </w:t>
      </w:r>
      <w:r w:rsidR="00CD4CE1">
        <w:rPr>
          <w:rFonts w:cs="Arial"/>
          <w:sz w:val="22"/>
        </w:rPr>
        <w:t xml:space="preserve">include </w:t>
      </w:r>
      <w:r w:rsidR="0014130A">
        <w:rPr>
          <w:rFonts w:cs="Arial"/>
          <w:sz w:val="22"/>
        </w:rPr>
        <w:t>major revisions, r</w:t>
      </w:r>
      <w:r w:rsidR="00CD4CE1">
        <w:rPr>
          <w:rFonts w:cs="Arial"/>
          <w:sz w:val="22"/>
        </w:rPr>
        <w:t xml:space="preserve">eferral, resubmission and second viva. </w:t>
      </w:r>
    </w:p>
    <w:p w14:paraId="7B2B174C" w14:textId="77777777" w:rsidR="00E669A4" w:rsidRPr="00895A9B" w:rsidRDefault="00E669A4" w:rsidP="00E669A4">
      <w:pPr>
        <w:ind w:left="142"/>
        <w:rPr>
          <w:rFonts w:cs="Arial"/>
          <w:sz w:val="22"/>
        </w:rPr>
      </w:pPr>
      <w:r w:rsidRPr="00895A9B">
        <w:rPr>
          <w:rFonts w:cs="Arial"/>
          <w:sz w:val="22"/>
        </w:rPr>
        <w:t xml:space="preserve">The communication of outcomes should be sensitive to the fact that the viva voce examination is the most significant culmination of the candidate’s work and that the normal </w:t>
      </w:r>
      <w:r w:rsidRPr="00895A9B">
        <w:rPr>
          <w:rFonts w:cs="Arial"/>
          <w:sz w:val="22"/>
        </w:rPr>
        <w:lastRenderedPageBreak/>
        <w:t>support and activities surrounding this rite of passage are likely to be disrupted when the candidate is in a different location to the examiners.</w:t>
      </w:r>
    </w:p>
    <w:p w14:paraId="3F29AC15" w14:textId="77777777" w:rsidR="00E669A4" w:rsidRPr="001D25DB" w:rsidRDefault="00E669A4" w:rsidP="001D25DB">
      <w:pPr>
        <w:pStyle w:val="Heading1"/>
        <w:rPr>
          <w:rFonts w:ascii="Arial" w:hAnsi="Arial" w:cs="Arial"/>
          <w:b/>
          <w:bCs/>
          <w:color w:val="auto"/>
          <w:sz w:val="24"/>
          <w:szCs w:val="24"/>
        </w:rPr>
      </w:pPr>
      <w:r w:rsidRPr="001D25DB">
        <w:rPr>
          <w:rFonts w:ascii="Arial" w:hAnsi="Arial" w:cs="Arial"/>
          <w:b/>
          <w:bCs/>
          <w:color w:val="auto"/>
          <w:sz w:val="24"/>
          <w:szCs w:val="24"/>
        </w:rPr>
        <w:t>Technological considerations</w:t>
      </w:r>
    </w:p>
    <w:p w14:paraId="3CBB6F2E" w14:textId="77777777" w:rsidR="00E669A4" w:rsidRPr="00895A9B" w:rsidRDefault="00E669A4" w:rsidP="00E669A4">
      <w:pPr>
        <w:ind w:left="142"/>
        <w:rPr>
          <w:rFonts w:cs="Arial"/>
          <w:sz w:val="22"/>
        </w:rPr>
      </w:pPr>
      <w:r w:rsidRPr="00895A9B">
        <w:rPr>
          <w:rFonts w:cs="Arial"/>
          <w:sz w:val="22"/>
        </w:rPr>
        <w:t>It is recommended that the viva be conducted using a secure digital platform, such as Microsoft Teams</w:t>
      </w:r>
      <w:r w:rsidRPr="5DB29535">
        <w:rPr>
          <w:rFonts w:cs="Arial"/>
          <w:sz w:val="22"/>
        </w:rPr>
        <w:t>;</w:t>
      </w:r>
      <w:r w:rsidRPr="00895A9B">
        <w:rPr>
          <w:rFonts w:cs="Arial"/>
          <w:sz w:val="22"/>
        </w:rPr>
        <w:t xml:space="preserve"> however</w:t>
      </w:r>
      <w:r w:rsidRPr="5DB29535">
        <w:rPr>
          <w:rFonts w:cs="Arial"/>
          <w:sz w:val="22"/>
        </w:rPr>
        <w:t>,</w:t>
      </w:r>
      <w:r w:rsidRPr="00895A9B">
        <w:rPr>
          <w:rFonts w:cs="Arial"/>
          <w:sz w:val="22"/>
        </w:rPr>
        <w:t xml:space="preserve"> consideration can be given to other applications especially if the participants are more familiar with these and the security of the platform against deliberate or accidental access is sufficiently high. </w:t>
      </w:r>
      <w:r>
        <w:rPr>
          <w:rFonts w:cs="Arial"/>
          <w:sz w:val="22"/>
        </w:rPr>
        <w:t xml:space="preserve">It is advisable to identify a back-up technology that can be used if the first choice should fail. </w:t>
      </w:r>
    </w:p>
    <w:p w14:paraId="7DA51179" w14:textId="77777777" w:rsidR="00E669A4" w:rsidRPr="00140624" w:rsidRDefault="00E669A4" w:rsidP="00E669A4">
      <w:pPr>
        <w:ind w:left="142"/>
        <w:rPr>
          <w:rFonts w:cs="Arial"/>
          <w:sz w:val="22"/>
        </w:rPr>
      </w:pPr>
      <w:r w:rsidRPr="5A0BB34C">
        <w:rPr>
          <w:rFonts w:cs="Arial"/>
          <w:sz w:val="22"/>
        </w:rPr>
        <w:t xml:space="preserve">It is recommended that all participants are admitted through a lobby, to ensure that only those invited to be present at the viva can join. </w:t>
      </w:r>
      <w:r>
        <w:rPr>
          <w:rFonts w:cs="Arial"/>
          <w:sz w:val="22"/>
        </w:rPr>
        <w:t xml:space="preserve"> In order to d</w:t>
      </w:r>
      <w:r w:rsidRPr="00140624">
        <w:rPr>
          <w:rFonts w:cs="Arial"/>
          <w:sz w:val="22"/>
        </w:rPr>
        <w:t>o this</w:t>
      </w:r>
      <w:r>
        <w:rPr>
          <w:rFonts w:cs="Arial"/>
          <w:sz w:val="22"/>
        </w:rPr>
        <w:t xml:space="preserve"> in Teams</w:t>
      </w:r>
      <w:r w:rsidRPr="00140624">
        <w:rPr>
          <w:rFonts w:cs="Arial"/>
          <w:sz w:val="22"/>
        </w:rPr>
        <w:t xml:space="preserve">, the viva meeting should be set up by the Chair or Internal examiner. When a meeting is set up, go into ‘meeting options’ in the email invitation and under ‘Who can bypass the lobby’ select ‘only me’. </w:t>
      </w:r>
    </w:p>
    <w:p w14:paraId="409C4006" w14:textId="77777777" w:rsidR="00E669A4" w:rsidRPr="00895A9B" w:rsidRDefault="00E669A4" w:rsidP="00E669A4">
      <w:pPr>
        <w:ind w:left="142"/>
        <w:rPr>
          <w:rFonts w:cs="Arial"/>
          <w:sz w:val="22"/>
        </w:rPr>
      </w:pPr>
      <w:r w:rsidRPr="00895A9B">
        <w:rPr>
          <w:rFonts w:cs="Arial"/>
          <w:sz w:val="22"/>
        </w:rPr>
        <w:t>The technology must support good video and audio connections and as part of agreeing to conduct the viva remotely the parties must confirm that they have functional relevant equipment and that it is plugged in to maintain battery life.</w:t>
      </w:r>
    </w:p>
    <w:p w14:paraId="455103C4" w14:textId="77777777" w:rsidR="00E669A4" w:rsidRPr="00895A9B" w:rsidRDefault="00E669A4" w:rsidP="00E669A4">
      <w:pPr>
        <w:ind w:left="142"/>
        <w:rPr>
          <w:rFonts w:cs="Arial"/>
          <w:sz w:val="22"/>
        </w:rPr>
      </w:pPr>
      <w:r w:rsidRPr="00F238EB">
        <w:rPr>
          <w:rFonts w:cs="Arial"/>
          <w:sz w:val="22"/>
        </w:rPr>
        <w:t xml:space="preserve">The viva must commence using both video and audio for all parties so that attendance can be noted and approved. Video does not need to be maintained by all parties throughout, for example the Chair may not require video contact throughout. It should be noted that maintaining active video engagement may be difficult, if there is also a need to simultaneously consult an online version of the thesis and provision should be made for this if required.  </w:t>
      </w:r>
    </w:p>
    <w:p w14:paraId="500A4B05" w14:textId="77777777" w:rsidR="00E669A4" w:rsidRPr="00895A9B" w:rsidRDefault="00E669A4" w:rsidP="00E669A4">
      <w:pPr>
        <w:ind w:left="142"/>
        <w:rPr>
          <w:rFonts w:cs="Arial"/>
          <w:sz w:val="22"/>
        </w:rPr>
      </w:pPr>
      <w:r w:rsidRPr="00485C17">
        <w:rPr>
          <w:rFonts w:cs="Arial"/>
          <w:sz w:val="22"/>
        </w:rPr>
        <w:t>If there is a failure in the connection/technology, attempts should be made to re-connect.  In the event of a serious or protracted breakdown in the connection or quality of the connection of more than 20 minutes</w:t>
      </w:r>
      <w:r>
        <w:rPr>
          <w:rFonts w:cs="Arial"/>
          <w:sz w:val="22"/>
        </w:rPr>
        <w:t xml:space="preserve">, and use of another digital platform to continue is not possible, </w:t>
      </w:r>
      <w:r w:rsidRPr="00485C17">
        <w:rPr>
          <w:rFonts w:cs="Arial"/>
          <w:sz w:val="22"/>
        </w:rPr>
        <w:t>the viva should be halted. If it is clear before 20 minutes are up that re-connection cannot be made or is unlikely the viva should also be halted.</w:t>
      </w:r>
    </w:p>
    <w:p w14:paraId="35ECF055" w14:textId="0AA7A069" w:rsidR="00E669A4" w:rsidRPr="00895A9B" w:rsidRDefault="00E669A4" w:rsidP="00E669A4">
      <w:pPr>
        <w:ind w:left="142"/>
        <w:rPr>
          <w:rFonts w:cs="Arial"/>
          <w:sz w:val="22"/>
        </w:rPr>
      </w:pPr>
      <w:r w:rsidRPr="00895A9B">
        <w:rPr>
          <w:rFonts w:cs="Arial"/>
          <w:sz w:val="22"/>
        </w:rPr>
        <w:t>The decision as to whether to halt a viva should be made by the Independent Chair. Decision making as to whether the viva is postponed, re-convened or concluded is covered in</w:t>
      </w:r>
      <w:r>
        <w:rPr>
          <w:rFonts w:cs="Arial"/>
          <w:sz w:val="22"/>
        </w:rPr>
        <w:t xml:space="preserve"> the section</w:t>
      </w:r>
      <w:r w:rsidRPr="00895A9B">
        <w:rPr>
          <w:rFonts w:cs="Arial"/>
          <w:sz w:val="22"/>
        </w:rPr>
        <w:t xml:space="preserve"> </w:t>
      </w:r>
      <w:r>
        <w:rPr>
          <w:rFonts w:cs="Arial"/>
          <w:sz w:val="22"/>
        </w:rPr>
        <w:t>‘</w:t>
      </w:r>
      <w:hyperlink w:anchor="_During_the_viva" w:history="1">
        <w:r w:rsidRPr="001D25DB">
          <w:rPr>
            <w:rStyle w:val="Hyperlink"/>
            <w:rFonts w:cs="Arial"/>
            <w:sz w:val="22"/>
          </w:rPr>
          <w:t>During the Viva’</w:t>
        </w:r>
      </w:hyperlink>
      <w:r w:rsidRPr="00895A9B">
        <w:rPr>
          <w:rFonts w:cs="Arial"/>
          <w:sz w:val="22"/>
        </w:rPr>
        <w:t>.</w:t>
      </w:r>
    </w:p>
    <w:p w14:paraId="10EC547B" w14:textId="77777777" w:rsidR="00B04CD1" w:rsidRDefault="00000000"/>
    <w:sectPr w:rsidR="00B04CD1" w:rsidSect="00CF71AA">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7731E6"/>
    <w:multiLevelType w:val="hybridMultilevel"/>
    <w:tmpl w:val="F5E4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9556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9A4"/>
    <w:rsid w:val="0000184C"/>
    <w:rsid w:val="0000217A"/>
    <w:rsid w:val="0000517D"/>
    <w:rsid w:val="000056AF"/>
    <w:rsid w:val="000321AD"/>
    <w:rsid w:val="00042EFF"/>
    <w:rsid w:val="00062088"/>
    <w:rsid w:val="0006507B"/>
    <w:rsid w:val="00073AED"/>
    <w:rsid w:val="000861E6"/>
    <w:rsid w:val="0009548D"/>
    <w:rsid w:val="000E118A"/>
    <w:rsid w:val="000E5F72"/>
    <w:rsid w:val="000F19EA"/>
    <w:rsid w:val="000F4C7F"/>
    <w:rsid w:val="001270FE"/>
    <w:rsid w:val="0014130A"/>
    <w:rsid w:val="00174786"/>
    <w:rsid w:val="00194A2F"/>
    <w:rsid w:val="0019756A"/>
    <w:rsid w:val="001B0EFE"/>
    <w:rsid w:val="001D25DB"/>
    <w:rsid w:val="001D6584"/>
    <w:rsid w:val="001E0819"/>
    <w:rsid w:val="00201274"/>
    <w:rsid w:val="002103A9"/>
    <w:rsid w:val="00212EC1"/>
    <w:rsid w:val="002143EE"/>
    <w:rsid w:val="0024429F"/>
    <w:rsid w:val="0025154D"/>
    <w:rsid w:val="0025559B"/>
    <w:rsid w:val="00270A22"/>
    <w:rsid w:val="00275C34"/>
    <w:rsid w:val="00276F65"/>
    <w:rsid w:val="00277B5D"/>
    <w:rsid w:val="00280A3E"/>
    <w:rsid w:val="002A2F50"/>
    <w:rsid w:val="002C1EF1"/>
    <w:rsid w:val="002E436B"/>
    <w:rsid w:val="00347D29"/>
    <w:rsid w:val="003B195B"/>
    <w:rsid w:val="003B2608"/>
    <w:rsid w:val="003D098D"/>
    <w:rsid w:val="003D5DE9"/>
    <w:rsid w:val="003F2432"/>
    <w:rsid w:val="004016EA"/>
    <w:rsid w:val="00402228"/>
    <w:rsid w:val="00402D40"/>
    <w:rsid w:val="00413EA8"/>
    <w:rsid w:val="00432868"/>
    <w:rsid w:val="00457B99"/>
    <w:rsid w:val="00460752"/>
    <w:rsid w:val="0047274F"/>
    <w:rsid w:val="004744E9"/>
    <w:rsid w:val="0047461A"/>
    <w:rsid w:val="0048636B"/>
    <w:rsid w:val="0049278B"/>
    <w:rsid w:val="004B21B0"/>
    <w:rsid w:val="004D78FA"/>
    <w:rsid w:val="004F68F7"/>
    <w:rsid w:val="00574C5B"/>
    <w:rsid w:val="0058307F"/>
    <w:rsid w:val="00584873"/>
    <w:rsid w:val="005B0DB9"/>
    <w:rsid w:val="005B5D9B"/>
    <w:rsid w:val="00604141"/>
    <w:rsid w:val="00626DE3"/>
    <w:rsid w:val="00654DF4"/>
    <w:rsid w:val="006D1086"/>
    <w:rsid w:val="006F0BB2"/>
    <w:rsid w:val="00723AED"/>
    <w:rsid w:val="007617F2"/>
    <w:rsid w:val="00770EF7"/>
    <w:rsid w:val="007802B7"/>
    <w:rsid w:val="00796A00"/>
    <w:rsid w:val="007B2DAE"/>
    <w:rsid w:val="007C3587"/>
    <w:rsid w:val="007D4F70"/>
    <w:rsid w:val="007E311E"/>
    <w:rsid w:val="007F5EB5"/>
    <w:rsid w:val="007F6408"/>
    <w:rsid w:val="007F75BF"/>
    <w:rsid w:val="00823F90"/>
    <w:rsid w:val="00835AA5"/>
    <w:rsid w:val="008369E6"/>
    <w:rsid w:val="00843BDD"/>
    <w:rsid w:val="0084546F"/>
    <w:rsid w:val="0085276C"/>
    <w:rsid w:val="00855D9D"/>
    <w:rsid w:val="00861B26"/>
    <w:rsid w:val="00881259"/>
    <w:rsid w:val="00881EC1"/>
    <w:rsid w:val="00891A0C"/>
    <w:rsid w:val="008970C6"/>
    <w:rsid w:val="008E6B96"/>
    <w:rsid w:val="0091341E"/>
    <w:rsid w:val="009556C4"/>
    <w:rsid w:val="0096517B"/>
    <w:rsid w:val="009D45EA"/>
    <w:rsid w:val="00A00031"/>
    <w:rsid w:val="00A2504E"/>
    <w:rsid w:val="00A52F5F"/>
    <w:rsid w:val="00A544DD"/>
    <w:rsid w:val="00A65416"/>
    <w:rsid w:val="00A77866"/>
    <w:rsid w:val="00A94905"/>
    <w:rsid w:val="00AA5D2B"/>
    <w:rsid w:val="00AD3E9B"/>
    <w:rsid w:val="00AE0610"/>
    <w:rsid w:val="00AF45ED"/>
    <w:rsid w:val="00B72988"/>
    <w:rsid w:val="00B9312B"/>
    <w:rsid w:val="00BC651E"/>
    <w:rsid w:val="00BE436E"/>
    <w:rsid w:val="00BF46AD"/>
    <w:rsid w:val="00BF488C"/>
    <w:rsid w:val="00C03C1E"/>
    <w:rsid w:val="00C11DFC"/>
    <w:rsid w:val="00C2237F"/>
    <w:rsid w:val="00C3218D"/>
    <w:rsid w:val="00C72D3D"/>
    <w:rsid w:val="00C84826"/>
    <w:rsid w:val="00CB08FA"/>
    <w:rsid w:val="00CB1E1B"/>
    <w:rsid w:val="00CB7831"/>
    <w:rsid w:val="00CD13E2"/>
    <w:rsid w:val="00CD4CE1"/>
    <w:rsid w:val="00CD5023"/>
    <w:rsid w:val="00CF45E9"/>
    <w:rsid w:val="00CF71AA"/>
    <w:rsid w:val="00D061D8"/>
    <w:rsid w:val="00D16835"/>
    <w:rsid w:val="00D16FA8"/>
    <w:rsid w:val="00D544E6"/>
    <w:rsid w:val="00DB3FC0"/>
    <w:rsid w:val="00DD288D"/>
    <w:rsid w:val="00E1413C"/>
    <w:rsid w:val="00E669A4"/>
    <w:rsid w:val="00E70F80"/>
    <w:rsid w:val="00E75674"/>
    <w:rsid w:val="00EA0393"/>
    <w:rsid w:val="00EE27A0"/>
    <w:rsid w:val="00EF4906"/>
    <w:rsid w:val="00F3472C"/>
    <w:rsid w:val="00F805C9"/>
    <w:rsid w:val="00FA554E"/>
    <w:rsid w:val="00FB547E"/>
    <w:rsid w:val="00FD7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2D392"/>
  <w15:chartTrackingRefBased/>
  <w15:docId w15:val="{32870070-00C8-9046-A6EE-714F37645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9A4"/>
    <w:pPr>
      <w:spacing w:after="160" w:line="259" w:lineRule="auto"/>
    </w:pPr>
    <w:rPr>
      <w:rFonts w:ascii="Arial" w:hAnsi="Arial"/>
      <w:szCs w:val="22"/>
    </w:rPr>
  </w:style>
  <w:style w:type="paragraph" w:styleId="Heading1">
    <w:name w:val="heading 1"/>
    <w:basedOn w:val="Normal"/>
    <w:next w:val="Normal"/>
    <w:link w:val="Heading1Char"/>
    <w:uiPriority w:val="9"/>
    <w:qFormat/>
    <w:rsid w:val="002555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9A4"/>
    <w:pPr>
      <w:ind w:left="720"/>
      <w:contextualSpacing/>
    </w:pPr>
  </w:style>
  <w:style w:type="character" w:styleId="CommentReference">
    <w:name w:val="annotation reference"/>
    <w:basedOn w:val="DefaultParagraphFont"/>
    <w:uiPriority w:val="99"/>
    <w:semiHidden/>
    <w:unhideWhenUsed/>
    <w:rsid w:val="00E669A4"/>
    <w:rPr>
      <w:sz w:val="16"/>
      <w:szCs w:val="16"/>
    </w:rPr>
  </w:style>
  <w:style w:type="paragraph" w:styleId="CommentText">
    <w:name w:val="annotation text"/>
    <w:basedOn w:val="Normal"/>
    <w:link w:val="CommentTextChar"/>
    <w:uiPriority w:val="99"/>
    <w:unhideWhenUsed/>
    <w:rsid w:val="00E669A4"/>
    <w:pPr>
      <w:spacing w:line="240" w:lineRule="auto"/>
    </w:pPr>
    <w:rPr>
      <w:sz w:val="20"/>
      <w:szCs w:val="20"/>
    </w:rPr>
  </w:style>
  <w:style w:type="character" w:customStyle="1" w:styleId="CommentTextChar">
    <w:name w:val="Comment Text Char"/>
    <w:basedOn w:val="DefaultParagraphFont"/>
    <w:link w:val="CommentText"/>
    <w:uiPriority w:val="99"/>
    <w:rsid w:val="00E669A4"/>
    <w:rPr>
      <w:rFonts w:ascii="Arial" w:hAnsi="Arial"/>
      <w:sz w:val="20"/>
      <w:szCs w:val="20"/>
    </w:rPr>
  </w:style>
  <w:style w:type="character" w:styleId="Hyperlink">
    <w:name w:val="Hyperlink"/>
    <w:basedOn w:val="DefaultParagraphFont"/>
    <w:uiPriority w:val="99"/>
    <w:unhideWhenUsed/>
    <w:rsid w:val="00E669A4"/>
    <w:rPr>
      <w:color w:val="0563C1" w:themeColor="hyperlink"/>
      <w:u w:val="single"/>
    </w:rPr>
  </w:style>
  <w:style w:type="paragraph" w:styleId="BalloonText">
    <w:name w:val="Balloon Text"/>
    <w:basedOn w:val="Normal"/>
    <w:link w:val="BalloonTextChar"/>
    <w:uiPriority w:val="99"/>
    <w:semiHidden/>
    <w:unhideWhenUsed/>
    <w:rsid w:val="00E669A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69A4"/>
    <w:rPr>
      <w:rFonts w:ascii="Times New Roman" w:hAnsi="Times New Roman" w:cs="Times New Roman"/>
      <w:sz w:val="18"/>
      <w:szCs w:val="18"/>
    </w:rPr>
  </w:style>
  <w:style w:type="paragraph" w:styleId="Revision">
    <w:name w:val="Revision"/>
    <w:hidden/>
    <w:uiPriority w:val="99"/>
    <w:semiHidden/>
    <w:rsid w:val="002103A9"/>
    <w:rPr>
      <w:rFonts w:ascii="Arial" w:hAnsi="Arial"/>
      <w:szCs w:val="22"/>
    </w:rPr>
  </w:style>
  <w:style w:type="character" w:styleId="FollowedHyperlink">
    <w:name w:val="FollowedHyperlink"/>
    <w:basedOn w:val="DefaultParagraphFont"/>
    <w:uiPriority w:val="99"/>
    <w:semiHidden/>
    <w:unhideWhenUsed/>
    <w:rsid w:val="00AE0610"/>
    <w:rPr>
      <w:color w:val="954F72" w:themeColor="followedHyperlink"/>
      <w:u w:val="single"/>
    </w:rPr>
  </w:style>
  <w:style w:type="character" w:customStyle="1" w:styleId="Heading1Char">
    <w:name w:val="Heading 1 Char"/>
    <w:basedOn w:val="DefaultParagraphFont"/>
    <w:link w:val="Heading1"/>
    <w:uiPriority w:val="9"/>
    <w:rsid w:val="0025559B"/>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7F5EB5"/>
    <w:rPr>
      <w:color w:val="605E5C"/>
      <w:shd w:val="clear" w:color="auto" w:fill="E1DFDD"/>
    </w:rPr>
  </w:style>
  <w:style w:type="paragraph" w:styleId="Title">
    <w:name w:val="Title"/>
    <w:basedOn w:val="Normal"/>
    <w:next w:val="Normal"/>
    <w:link w:val="TitleChar"/>
    <w:uiPriority w:val="10"/>
    <w:qFormat/>
    <w:rsid w:val="003B195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95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37718">
      <w:bodyDiv w:val="1"/>
      <w:marLeft w:val="0"/>
      <w:marRight w:val="0"/>
      <w:marTop w:val="0"/>
      <w:marBottom w:val="0"/>
      <w:divBdr>
        <w:top w:val="none" w:sz="0" w:space="0" w:color="auto"/>
        <w:left w:val="none" w:sz="0" w:space="0" w:color="auto"/>
        <w:bottom w:val="none" w:sz="0" w:space="0" w:color="auto"/>
        <w:right w:val="none" w:sz="0" w:space="0" w:color="auto"/>
      </w:divBdr>
    </w:div>
    <w:div w:id="178730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ttingham.ac.uk/qualitymanual/research-degree-progs/pgr-regs-deg-phd-mphil.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ttingham.ac.uk/qualitymanual/academic-regulations/unqf.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ttingham.ac.uk/qualitymanual/research-degree-progs/pgr-assessment.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nottingham.ac.uk/hr/guidesandsupport/universitycodesofpracticeandrules/personalrelationships/index.aspx" TargetMode="External"/><Relationship Id="rId4" Type="http://schemas.openxmlformats.org/officeDocument/2006/relationships/customXml" Target="../customXml/item4.xml"/><Relationship Id="rId9" Type="http://schemas.openxmlformats.org/officeDocument/2006/relationships/hyperlink" Target="https://www.nottingham.ac.uk/qualitymanual/research-degree-progs/pgr-role-and-appointment-of-examiners-for-research-degree-programme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3DA1DFA5B546448D52FC16400106FA" ma:contentTypeVersion="13" ma:contentTypeDescription="Create a new document." ma:contentTypeScope="" ma:versionID="b11bcb11456118e83478029911b84ff8">
  <xsd:schema xmlns:xsd="http://www.w3.org/2001/XMLSchema" xmlns:xs="http://www.w3.org/2001/XMLSchema" xmlns:p="http://schemas.microsoft.com/office/2006/metadata/properties" xmlns:ns2="79dc25ab-5a1c-4847-bb77-ccf867245a10" xmlns:ns3="0bd440e3-93bf-4128-ad26-548d66841a01" targetNamespace="http://schemas.microsoft.com/office/2006/metadata/properties" ma:root="true" ma:fieldsID="2ea4737d4e06bb4dd3eee46a7c74a01b" ns2:_="" ns3:_="">
    <xsd:import namespace="79dc25ab-5a1c-4847-bb77-ccf867245a10"/>
    <xsd:import namespace="0bd440e3-93bf-4128-ad26-548d66841a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dc25ab-5a1c-4847-bb77-ccf867245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624216-d583-4636-a04d-17921d6eaf6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d440e3-93bf-4128-ad26-548d66841a0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6fca8f9-56d7-4f37-a565-cbceedfbb236}" ma:internalName="TaxCatchAll" ma:showField="CatchAllData" ma:web="0bd440e3-93bf-4128-ad26-548d66841a0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bd440e3-93bf-4128-ad26-548d66841a01">
      <UserInfo>
        <DisplayName>Hayley Robinson</DisplayName>
        <AccountId>363</AccountId>
        <AccountType/>
      </UserInfo>
    </SharedWithUsers>
    <lcf76f155ced4ddcb4097134ff3c332f xmlns="79dc25ab-5a1c-4847-bb77-ccf867245a10">
      <Terms xmlns="http://schemas.microsoft.com/office/infopath/2007/PartnerControls"/>
    </lcf76f155ced4ddcb4097134ff3c332f>
    <TaxCatchAll xmlns="0bd440e3-93bf-4128-ad26-548d66841a0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FCFED4-D935-4189-99DA-C6876953D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dc25ab-5a1c-4847-bb77-ccf867245a10"/>
    <ds:schemaRef ds:uri="0bd440e3-93bf-4128-ad26-548d66841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D3235B-0053-4FC6-A2E4-2BB63C6C75F8}">
  <ds:schemaRefs>
    <ds:schemaRef ds:uri="http://schemas.microsoft.com/office/2006/metadata/properties"/>
    <ds:schemaRef ds:uri="http://schemas.microsoft.com/office/infopath/2007/PartnerControls"/>
    <ds:schemaRef ds:uri="0bd440e3-93bf-4128-ad26-548d66841a01"/>
    <ds:schemaRef ds:uri="79dc25ab-5a1c-4847-bb77-ccf867245a10"/>
  </ds:schemaRefs>
</ds:datastoreItem>
</file>

<file path=customXml/itemProps3.xml><?xml version="1.0" encoding="utf-8"?>
<ds:datastoreItem xmlns:ds="http://schemas.openxmlformats.org/officeDocument/2006/customXml" ds:itemID="{39BA654B-4B1D-4D73-B2B2-251E059B7B1C}">
  <ds:schemaRefs>
    <ds:schemaRef ds:uri="http://schemas.openxmlformats.org/officeDocument/2006/bibliography"/>
  </ds:schemaRefs>
</ds:datastoreItem>
</file>

<file path=customXml/itemProps4.xml><?xml version="1.0" encoding="utf-8"?>
<ds:datastoreItem xmlns:ds="http://schemas.openxmlformats.org/officeDocument/2006/customXml" ds:itemID="{A44EF610-040B-4290-B8D6-54BAC60F82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1340</Words>
  <Characters>7638</Characters>
  <Application>Microsoft Office Word</Application>
  <DocSecurity>0</DocSecurity>
  <Lines>63</Lines>
  <Paragraphs>17</Paragraphs>
  <ScaleCrop>false</ScaleCrop>
  <Company/>
  <LinksUpToDate>false</LinksUpToDate>
  <CharactersWithSpaces>8961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Donaldson</dc:creator>
  <cp:keywords/>
  <dc:description/>
  <cp:lastModifiedBy>Hayley Robinson (staff)</cp:lastModifiedBy>
  <cp:revision>12</cp:revision>
  <dcterms:created xsi:type="dcterms:W3CDTF">2022-09-23T10:30:00Z</dcterms:created>
  <dcterms:modified xsi:type="dcterms:W3CDTF">2022-09-23T11:26:00Z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0x010100923DA1DFA5B546448D52FC16400106FA</vt:lpwstr>
  </property>
  <property fmtid="{D5CDD505-2E9C-101B-9397-08002B2CF9AE}" pid="3" name="MediaServiceImageTags">
    <vt:lpwstr/>
  </property>
</Properties>
</file>