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1CDB" w:rsidR="00EE6490" w:rsidP="328355BD" w:rsidRDefault="00EE6490" w14:paraId="0393CA52" w14:textId="77777777">
      <w:pPr>
        <w:pStyle w:val="Title"/>
        <w:spacing w:after="120"/>
        <w:rPr>
          <w:rFonts w:ascii="Arial" w:hAnsi="Arial" w:eastAsia="Arial" w:cs="Arial"/>
          <w:b w:val="1"/>
          <w:bCs w:val="1"/>
          <w:sz w:val="28"/>
          <w:szCs w:val="28"/>
        </w:rPr>
      </w:pPr>
      <w:r w:rsidRPr="328355BD" w:rsidR="00EE6490">
        <w:rPr>
          <w:rFonts w:ascii="Arial" w:hAnsi="Arial" w:eastAsia="Arial" w:cs="Arial"/>
          <w:b w:val="1"/>
          <w:bCs w:val="1"/>
          <w:sz w:val="28"/>
          <w:szCs w:val="28"/>
        </w:rPr>
        <w:t>Title</w:t>
      </w:r>
    </w:p>
    <w:p w:rsidRPr="00281CDB" w:rsidR="0034326A" w:rsidP="328355BD" w:rsidRDefault="0034326A" w14:paraId="103CEE4D" w14:textId="77777777">
      <w:pPr>
        <w:spacing w:after="120" w:line="240" w:lineRule="auto"/>
        <w:rPr>
          <w:rFonts w:ascii="Arial" w:hAnsi="Arial" w:eastAsia="Arial" w:cs="Arial"/>
          <w:b w:val="1"/>
          <w:bCs w:val="1"/>
          <w:i w:val="1"/>
          <w:iCs w:val="1"/>
          <w:lang w:bidi="en-US"/>
        </w:rPr>
      </w:pPr>
    </w:p>
    <w:p w:rsidRPr="00281CDB" w:rsidR="00EE6490" w:rsidP="328355BD" w:rsidRDefault="00EE6490" w14:paraId="376EA93D" w14:textId="501EFD55">
      <w:pPr>
        <w:spacing w:after="120" w:line="240" w:lineRule="auto"/>
        <w:rPr>
          <w:rFonts w:ascii="Arial" w:hAnsi="Arial" w:eastAsia="Arial" w:cs="Arial"/>
          <w:b w:val="1"/>
          <w:bCs w:val="1"/>
          <w:sz w:val="28"/>
          <w:szCs w:val="28"/>
          <w:lang w:bidi="en-US"/>
        </w:rPr>
      </w:pPr>
      <w:r w:rsidRPr="328355BD" w:rsidR="00EE6490">
        <w:rPr>
          <w:rFonts w:ascii="Arial" w:hAnsi="Arial" w:eastAsia="Arial" w:cs="Arial"/>
          <w:b w:val="1"/>
          <w:bCs w:val="1"/>
          <w:sz w:val="28"/>
          <w:szCs w:val="28"/>
          <w:lang w:bidi="en-US"/>
        </w:rPr>
        <w:t>Regulation</w:t>
      </w:r>
    </w:p>
    <w:p w:rsidRPr="00281CDB" w:rsidR="0034326A" w:rsidP="328355BD" w:rsidRDefault="0034326A" w14:paraId="25111D61" w14:textId="77777777">
      <w:pPr>
        <w:spacing w:after="120" w:line="240" w:lineRule="auto"/>
        <w:rPr>
          <w:rFonts w:ascii="Arial" w:hAnsi="Arial" w:eastAsia="Arial" w:cs="Arial"/>
          <w:lang w:bidi="en-US"/>
        </w:rPr>
      </w:pPr>
    </w:p>
    <w:p w:rsidRPr="00A44708" w:rsidR="00A44708" w:rsidP="328355BD" w:rsidRDefault="00A44708" w14:paraId="30D93CDA" w14:textId="77777777">
      <w:pPr>
        <w:spacing w:after="120" w:line="240" w:lineRule="auto"/>
        <w:rPr>
          <w:rFonts w:ascii="Arial" w:hAnsi="Arial" w:eastAsia="Arial" w:cs="Arial"/>
          <w:color w:val="000000"/>
          <w:shd w:val="clear" w:color="auto" w:fill="FFFFFF"/>
        </w:rPr>
      </w:pPr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>Note, some areas of the Quality Manual have the regulation and Standard Operating Procedure (SOP) intertwined</w:t>
      </w:r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 xml:space="preserve">.  </w:t>
      </w:r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>In these cases, the combined template, rather than this one, should be used, rather than individual ones for individual webpages.</w:t>
      </w:r>
    </w:p>
    <w:p w:rsidRPr="00A44708" w:rsidR="00A44708" w:rsidP="328355BD" w:rsidRDefault="00A44708" w14:paraId="3CB5D1FE" w14:textId="77777777">
      <w:pPr>
        <w:spacing w:after="120" w:line="240" w:lineRule="auto"/>
        <w:rPr>
          <w:rFonts w:ascii="Arial" w:hAnsi="Arial" w:eastAsia="Arial" w:cs="Arial"/>
          <w:color w:val="000000"/>
          <w:shd w:val="clear" w:color="auto" w:fill="FFFFFF"/>
        </w:rPr>
      </w:pPr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 xml:space="preserve">Please refer to the </w:t>
      </w:r>
      <w:hyperlink r:id="R4fb446684ff04c36">
        <w:r w:rsidRPr="328355BD" w:rsidR="00A44708">
          <w:rPr>
            <w:rStyle w:val="Hyperlink"/>
            <w:rFonts w:ascii="Arial" w:hAnsi="Arial" w:eastAsia="Arial" w:cs="Arial"/>
            <w:shd w:val="clear" w:color="auto" w:fill="FFFFFF"/>
          </w:rPr>
          <w:t>University of Nottingham Policy Management Framework</w:t>
        </w:r>
      </w:hyperlink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 xml:space="preserve">, appendix 1, for the official definition of a SOP. There is not an official definition or guidance on drafting a Regulation</w:t>
      </w:r>
      <w:r w:rsidRPr="328355BD" w:rsidR="00A44708">
        <w:rPr>
          <w:rFonts w:ascii="Arial" w:hAnsi="Arial" w:eastAsia="Arial" w:cs="Arial"/>
          <w:color w:val="000000"/>
          <w:shd w:val="clear" w:color="auto" w:fill="FFFFFF"/>
        </w:rPr>
        <w:t xml:space="preserve">.  </w:t>
      </w:r>
    </w:p>
    <w:p w:rsidRPr="00281CDB" w:rsidR="0034326A" w:rsidP="328355BD" w:rsidRDefault="0034326A" w14:paraId="00280B53" w14:textId="77777777">
      <w:pPr>
        <w:spacing w:after="120" w:line="240" w:lineRule="auto"/>
        <w:rPr>
          <w:rFonts w:ascii="Arial" w:hAnsi="Arial" w:eastAsia="Arial" w:cs="Arial"/>
          <w:lang w:bidi="en-US"/>
        </w:rPr>
      </w:pPr>
    </w:p>
    <w:p w:rsidRPr="00281CDB" w:rsidR="0034326A" w:rsidP="328355BD" w:rsidRDefault="544EAED3" w14:paraId="2B9F89D0" w14:textId="5A564BD6">
      <w:pPr>
        <w:pStyle w:val="Heading1"/>
        <w:numPr>
          <w:ilvl w:val="0"/>
          <w:numId w:val="0"/>
        </w:numPr>
        <w:spacing w:before="0" w:after="120" w:line="240" w:lineRule="auto"/>
        <w:ind w:left="432"/>
        <w:rPr>
          <w:rFonts w:ascii="Arial" w:hAnsi="Arial" w:eastAsia="Arial" w:cs="Arial"/>
          <w:sz w:val="28"/>
          <w:szCs w:val="28"/>
        </w:rPr>
      </w:pPr>
      <w:r w:rsidRPr="328355BD" w:rsidR="544EAED3">
        <w:rPr>
          <w:rFonts w:ascii="Arial" w:hAnsi="Arial" w:eastAsia="Arial" w:cs="Arial"/>
          <w:sz w:val="28"/>
          <w:szCs w:val="28"/>
        </w:rPr>
        <w:t>Overview</w:t>
      </w:r>
      <w:r w:rsidRPr="328355BD" w:rsidR="39071339">
        <w:rPr>
          <w:rFonts w:ascii="Arial" w:hAnsi="Arial" w:eastAsia="Arial" w:cs="Arial"/>
          <w:sz w:val="28"/>
          <w:szCs w:val="28"/>
        </w:rPr>
        <w:t xml:space="preserve"> and Scope</w:t>
      </w:r>
      <w:r w:rsidRPr="328355BD" w:rsidR="544EAED3">
        <w:rPr>
          <w:rFonts w:ascii="Arial" w:hAnsi="Arial" w:eastAsia="Arial" w:cs="Arial"/>
          <w:sz w:val="28"/>
          <w:szCs w:val="28"/>
        </w:rPr>
        <w:t xml:space="preserve"> </w:t>
      </w:r>
    </w:p>
    <w:p w:rsidRPr="00281CDB" w:rsidR="0034326A" w:rsidP="328355BD" w:rsidRDefault="544EAED3" w14:paraId="11815DC1" w14:textId="3B2E1059">
      <w:pPr>
        <w:spacing w:after="120" w:line="240" w:lineRule="auto"/>
        <w:rPr>
          <w:rFonts w:ascii="Arial" w:hAnsi="Arial" w:eastAsia="Arial" w:cs="Arial"/>
          <w:lang w:bidi="en-US"/>
        </w:rPr>
      </w:pPr>
      <w:r w:rsidRPr="328355BD" w:rsidR="544EAED3">
        <w:rPr>
          <w:rFonts w:ascii="Arial" w:hAnsi="Arial" w:eastAsia="Arial" w:cs="Arial"/>
          <w:lang w:bidi="en-US"/>
        </w:rPr>
        <w:t>[this is the text that is in bold at the top of the QM page</w:t>
      </w:r>
      <w:r w:rsidRPr="328355BD" w:rsidR="53E531DA">
        <w:rPr>
          <w:rFonts w:ascii="Arial" w:hAnsi="Arial" w:eastAsia="Arial" w:cs="Arial"/>
          <w:lang w:bidi="en-US"/>
        </w:rPr>
        <w:t>; scope includes whether staff/students and which campus of UNUK/UNNC/UNM]</w:t>
      </w:r>
    </w:p>
    <w:p w:rsidRPr="00281CDB" w:rsidR="00550AE1" w:rsidP="328355BD" w:rsidRDefault="00550AE1" w14:paraId="2599C564" w14:textId="5984104E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328355BD" w:rsidR="00550AE1">
        <w:rPr>
          <w:rFonts w:ascii="Arial" w:hAnsi="Arial" w:eastAsia="Arial" w:cs="Arial"/>
          <w:sz w:val="28"/>
          <w:szCs w:val="28"/>
        </w:rPr>
        <w:t>Purpose</w:t>
      </w:r>
    </w:p>
    <w:p w:rsidRPr="00281CDB" w:rsidR="00550AE1" w:rsidP="328355BD" w:rsidRDefault="00550AE1" w14:paraId="197D5832" w14:textId="2B374375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328355BD" w:rsidR="00550AE1">
        <w:rPr>
          <w:rFonts w:ascii="Arial" w:hAnsi="Arial" w:eastAsia="Arial" w:cs="Arial"/>
          <w:sz w:val="28"/>
          <w:szCs w:val="28"/>
        </w:rPr>
        <w:t>Key Principles</w:t>
      </w:r>
    </w:p>
    <w:p w:rsidRPr="00281CDB" w:rsidR="0027279A" w:rsidP="328355BD" w:rsidRDefault="0027279A" w14:paraId="22A02C2F" w14:textId="57C91EC0">
      <w:pPr>
        <w:pStyle w:val="Heading2"/>
        <w:spacing w:before="0" w:after="120" w:line="240" w:lineRule="auto"/>
        <w:rPr>
          <w:rFonts w:ascii="Arial" w:hAnsi="Arial" w:eastAsia="Arial" w:cs="Arial"/>
          <w:color w:val="auto"/>
          <w:sz w:val="22"/>
          <w:szCs w:val="22"/>
        </w:rPr>
      </w:pPr>
      <w:bookmarkStart w:name="_Hlk160635500" w:id="0"/>
      <w:r w:rsidRPr="328355BD" w:rsidR="0027279A">
        <w:rPr>
          <w:rFonts w:ascii="Arial" w:hAnsi="Arial" w:eastAsia="Arial" w:cs="Arial"/>
          <w:color w:val="auto"/>
          <w:sz w:val="22"/>
          <w:szCs w:val="22"/>
        </w:rPr>
        <w:t xml:space="preserve">[If this section is long, then </w:t>
      </w:r>
      <w:r w:rsidRPr="328355BD" w:rsidR="0027279A">
        <w:rPr>
          <w:rFonts w:ascii="Arial" w:hAnsi="Arial" w:eastAsia="Arial" w:cs="Arial"/>
          <w:color w:val="auto"/>
          <w:sz w:val="22"/>
          <w:szCs w:val="22"/>
        </w:rPr>
        <w:t>sub headings</w:t>
      </w:r>
      <w:r w:rsidRPr="328355BD" w:rsidR="0027279A">
        <w:rPr>
          <w:rFonts w:ascii="Arial" w:hAnsi="Arial" w:eastAsia="Arial" w:cs="Arial"/>
          <w:color w:val="auto"/>
          <w:sz w:val="22"/>
          <w:szCs w:val="22"/>
        </w:rPr>
        <w:t xml:space="preserve"> e.g. 4.1, 4.2 etc will be shown as separate </w:t>
      </w:r>
      <w:r w:rsidRPr="328355BD" w:rsidR="0027279A">
        <w:rPr>
          <w:rFonts w:ascii="Arial" w:hAnsi="Arial" w:eastAsia="Arial" w:cs="Arial"/>
          <w:color w:val="auto"/>
          <w:sz w:val="22"/>
          <w:szCs w:val="22"/>
        </w:rPr>
        <w:t>drop down</w:t>
      </w:r>
      <w:r w:rsidRPr="328355BD" w:rsidR="0027279A">
        <w:rPr>
          <w:rFonts w:ascii="Arial" w:hAnsi="Arial" w:eastAsia="Arial" w:cs="Arial"/>
          <w:color w:val="auto"/>
          <w:sz w:val="22"/>
          <w:szCs w:val="22"/>
        </w:rPr>
        <w:t xml:space="preserve"> links in the QM]</w:t>
      </w:r>
    </w:p>
    <w:bookmarkEnd w:id="0"/>
    <w:p w:rsidRPr="00281CDB" w:rsidR="00FD4EF4" w:rsidP="328355BD" w:rsidRDefault="00FD4EF4" w14:paraId="6F099561" w14:textId="47074F96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r w:rsidRPr="328355BD" w:rsidR="00FD4EF4">
        <w:rPr>
          <w:rFonts w:ascii="Arial" w:hAnsi="Arial" w:eastAsia="Arial" w:cs="Arial"/>
          <w:sz w:val="28"/>
          <w:szCs w:val="28"/>
        </w:rPr>
        <w:t xml:space="preserve">Related </w:t>
      </w:r>
      <w:r w:rsidRPr="328355BD" w:rsidR="7BF96E84">
        <w:rPr>
          <w:rFonts w:ascii="Arial" w:hAnsi="Arial" w:eastAsia="Arial" w:cs="Arial"/>
          <w:sz w:val="28"/>
          <w:szCs w:val="28"/>
        </w:rPr>
        <w:t xml:space="preserve">Regulations, </w:t>
      </w:r>
      <w:r w:rsidRPr="328355BD" w:rsidR="00FD4EF4">
        <w:rPr>
          <w:rFonts w:ascii="Arial" w:hAnsi="Arial" w:eastAsia="Arial" w:cs="Arial"/>
          <w:sz w:val="28"/>
          <w:szCs w:val="28"/>
        </w:rPr>
        <w:t>Policies</w:t>
      </w:r>
      <w:r w:rsidRPr="328355BD" w:rsidR="675A74BF">
        <w:rPr>
          <w:rFonts w:ascii="Arial" w:hAnsi="Arial" w:eastAsia="Arial" w:cs="Arial"/>
          <w:sz w:val="28"/>
          <w:szCs w:val="28"/>
        </w:rPr>
        <w:t xml:space="preserve"> </w:t>
      </w:r>
      <w:r w:rsidRPr="328355BD" w:rsidR="00394CA5">
        <w:rPr>
          <w:rFonts w:ascii="Arial" w:hAnsi="Arial" w:eastAsia="Arial" w:cs="Arial"/>
          <w:sz w:val="28"/>
          <w:szCs w:val="28"/>
        </w:rPr>
        <w:t>and Procedures</w:t>
      </w:r>
    </w:p>
    <w:p w:rsidRPr="00281CDB" w:rsidR="00FD4EF4" w:rsidP="328355BD" w:rsidRDefault="4F4495CF" w14:paraId="23548EFE" w14:textId="6E75BAC3">
      <w:pPr>
        <w:pStyle w:val="Heading2"/>
        <w:spacing w:before="0" w:after="120" w:line="240" w:lineRule="auto"/>
        <w:rPr>
          <w:rFonts w:ascii="Arial" w:hAnsi="Arial" w:eastAsia="Arial" w:cs="Arial"/>
          <w:color w:val="auto"/>
          <w:sz w:val="22"/>
          <w:szCs w:val="22"/>
        </w:rPr>
      </w:pPr>
      <w:r w:rsidRPr="328355BD" w:rsidR="4F4495CF">
        <w:rPr>
          <w:rFonts w:ascii="Arial" w:hAnsi="Arial" w:eastAsia="Arial" w:cs="Arial"/>
          <w:color w:val="auto"/>
          <w:sz w:val="22"/>
          <w:szCs w:val="22"/>
        </w:rPr>
        <w:t>[Aim to put all links to other areas in this section rather than in the body of the text, with clear wording to direct the reader]</w:t>
      </w:r>
    </w:p>
    <w:p w:rsidRPr="00281CDB" w:rsidR="00FC77E7" w:rsidP="328355BD" w:rsidRDefault="001E319F" w14:paraId="6F8AF689" w14:textId="776513BB">
      <w:pPr>
        <w:pStyle w:val="Heading1"/>
        <w:spacing w:before="0" w:after="120" w:line="240" w:lineRule="auto"/>
        <w:rPr>
          <w:rFonts w:ascii="Arial" w:hAnsi="Arial" w:eastAsia="Arial" w:cs="Arial"/>
          <w:sz w:val="28"/>
          <w:szCs w:val="28"/>
        </w:rPr>
      </w:pPr>
      <w:bookmarkStart w:name="_Hlk140997693" w:id="1"/>
      <w:r w:rsidRPr="328355BD" w:rsidR="001E319F">
        <w:rPr>
          <w:rFonts w:ascii="Arial" w:hAnsi="Arial" w:eastAsia="Arial" w:cs="Arial"/>
          <w:sz w:val="28"/>
          <w:szCs w:val="28"/>
        </w:rPr>
        <w:t>Version control Table</w:t>
      </w:r>
      <w:r>
        <w:tab/>
      </w:r>
    </w:p>
    <w:p w:rsidRPr="00281CDB" w:rsidR="0034326A" w:rsidP="328355BD" w:rsidRDefault="0034326A" w14:paraId="621F0481" w14:textId="77777777">
      <w:pPr>
        <w:spacing w:after="120" w:line="240" w:lineRule="auto"/>
        <w:rPr>
          <w:rFonts w:ascii="Arial" w:hAnsi="Arial" w:eastAsia="Arial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9"/>
        <w:gridCol w:w="5049"/>
        <w:gridCol w:w="1433"/>
        <w:gridCol w:w="1405"/>
      </w:tblGrid>
      <w:tr w:rsidRPr="00281CDB" w:rsidR="001E319F" w:rsidTr="328355BD" w14:paraId="5CDA0BD4" w14:textId="27CE2E42">
        <w:tc>
          <w:tcPr>
            <w:tcW w:w="1129" w:type="dxa"/>
            <w:tcMar/>
          </w:tcPr>
          <w:p w:rsidRPr="00281CDB" w:rsidR="001E319F" w:rsidP="328355BD" w:rsidRDefault="001E319F" w14:paraId="7CC3BC7E" w14:textId="417F50D6">
            <w:pPr>
              <w:spacing w:after="120"/>
              <w:rPr>
                <w:rFonts w:ascii="Arial" w:hAnsi="Arial" w:eastAsia="Arial" w:cs="Arial"/>
              </w:rPr>
            </w:pPr>
            <w:r w:rsidRPr="328355BD" w:rsidR="001E319F">
              <w:rPr>
                <w:rFonts w:ascii="Arial" w:hAnsi="Arial" w:eastAsia="Arial" w:cs="Arial"/>
              </w:rPr>
              <w:t xml:space="preserve">Version Number </w:t>
            </w:r>
          </w:p>
        </w:tc>
        <w:tc>
          <w:tcPr>
            <w:tcW w:w="5049" w:type="dxa"/>
            <w:tcMar/>
          </w:tcPr>
          <w:p w:rsidRPr="00281CDB" w:rsidR="001E319F" w:rsidP="328355BD" w:rsidRDefault="001E319F" w14:paraId="7C231984" w14:textId="3440F33A">
            <w:pPr>
              <w:spacing w:after="120"/>
              <w:rPr>
                <w:rFonts w:ascii="Arial" w:hAnsi="Arial" w:eastAsia="Arial" w:cs="Arial"/>
              </w:rPr>
            </w:pPr>
            <w:r w:rsidRPr="328355BD" w:rsidR="001E319F">
              <w:rPr>
                <w:rFonts w:ascii="Arial" w:hAnsi="Arial" w:eastAsia="Arial" w:cs="Arial"/>
              </w:rPr>
              <w:t>Pu</w:t>
            </w:r>
            <w:r w:rsidRPr="328355BD" w:rsidR="00717993">
              <w:rPr>
                <w:rFonts w:ascii="Arial" w:hAnsi="Arial" w:eastAsia="Arial" w:cs="Arial"/>
              </w:rPr>
              <w:t>r</w:t>
            </w:r>
            <w:r w:rsidRPr="328355BD" w:rsidR="001E319F">
              <w:rPr>
                <w:rFonts w:ascii="Arial" w:hAnsi="Arial" w:eastAsia="Arial" w:cs="Arial"/>
              </w:rPr>
              <w:t>pose/Change</w:t>
            </w:r>
          </w:p>
        </w:tc>
        <w:tc>
          <w:tcPr>
            <w:tcW w:w="1433" w:type="dxa"/>
            <w:tcMar/>
          </w:tcPr>
          <w:p w:rsidRPr="00281CDB" w:rsidR="001E319F" w:rsidP="328355BD" w:rsidRDefault="001E319F" w14:paraId="6996E4F2" w14:textId="4AFCD202">
            <w:pPr>
              <w:spacing w:after="120"/>
              <w:rPr>
                <w:rFonts w:ascii="Arial" w:hAnsi="Arial" w:eastAsia="Arial" w:cs="Arial"/>
              </w:rPr>
            </w:pPr>
            <w:r w:rsidRPr="328355BD" w:rsidR="001E319F">
              <w:rPr>
                <w:rFonts w:ascii="Arial" w:hAnsi="Arial" w:eastAsia="Arial" w:cs="Arial"/>
              </w:rPr>
              <w:t>Approving committee</w:t>
            </w:r>
          </w:p>
        </w:tc>
        <w:tc>
          <w:tcPr>
            <w:tcW w:w="1405" w:type="dxa"/>
            <w:tcMar/>
          </w:tcPr>
          <w:p w:rsidRPr="00281CDB" w:rsidR="001E319F" w:rsidP="328355BD" w:rsidRDefault="001E319F" w14:paraId="2BD16D26" w14:textId="5BF92CF9">
            <w:pPr>
              <w:spacing w:after="120"/>
              <w:rPr>
                <w:rFonts w:ascii="Arial" w:hAnsi="Arial" w:eastAsia="Arial" w:cs="Arial"/>
              </w:rPr>
            </w:pPr>
            <w:r w:rsidRPr="328355BD" w:rsidR="001E319F">
              <w:rPr>
                <w:rFonts w:ascii="Arial" w:hAnsi="Arial" w:eastAsia="Arial" w:cs="Arial"/>
              </w:rPr>
              <w:t>D</w:t>
            </w:r>
            <w:r w:rsidRPr="328355BD" w:rsidR="00FD4EF4">
              <w:rPr>
                <w:rFonts w:ascii="Arial" w:hAnsi="Arial" w:eastAsia="Arial" w:cs="Arial"/>
              </w:rPr>
              <w:t>a</w:t>
            </w:r>
            <w:r w:rsidRPr="328355BD" w:rsidR="001E319F">
              <w:rPr>
                <w:rFonts w:ascii="Arial" w:hAnsi="Arial" w:eastAsia="Arial" w:cs="Arial"/>
              </w:rPr>
              <w:t>te</w:t>
            </w:r>
          </w:p>
        </w:tc>
      </w:tr>
      <w:tr w:rsidRPr="00281CDB" w:rsidR="00EE6490" w:rsidTr="328355BD" w14:paraId="689DB52F" w14:textId="1C55161C">
        <w:tc>
          <w:tcPr>
            <w:tcW w:w="1129" w:type="dxa"/>
            <w:tcMar/>
          </w:tcPr>
          <w:p w:rsidRPr="00281CDB" w:rsidR="00EE6490" w:rsidP="328355BD" w:rsidRDefault="00EE6490" w14:paraId="07641067" w14:textId="3BAB4430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>1.0 </w:t>
            </w:r>
            <w:r w:rsidRPr="328355BD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5049" w:type="dxa"/>
            <w:tcMar/>
          </w:tcPr>
          <w:p w:rsidRPr="00281CDB" w:rsidR="00EE6490" w:rsidP="328355BD" w:rsidRDefault="00EE6490" w14:paraId="1BA18943" w14:textId="6E35A06D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 xml:space="preserve">Reformatted to align with new University of Nottingham Policy Management Framework based on content last </w:t>
            </w: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>modified</w:t>
            </w: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 xml:space="preserve"> on [add date from existing QM page] </w:t>
            </w:r>
            <w:r w:rsidRPr="328355BD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1433" w:type="dxa"/>
            <w:tcMar/>
          </w:tcPr>
          <w:p w:rsidRPr="00281CDB" w:rsidR="00EE6490" w:rsidP="328355BD" w:rsidRDefault="00EE6490" w14:paraId="46132C77" w14:textId="49F7A155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>QSC</w:t>
            </w:r>
            <w:r w:rsidRPr="328355BD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  <w:tc>
          <w:tcPr>
            <w:tcW w:w="1405" w:type="dxa"/>
            <w:tcMar/>
          </w:tcPr>
          <w:p w:rsidRPr="00281CDB" w:rsidR="00EE6490" w:rsidP="328355BD" w:rsidRDefault="00EE6490" w14:paraId="073DF8B5" w14:textId="43FF6BA5">
            <w:pPr>
              <w:spacing w:after="120"/>
              <w:rPr>
                <w:rFonts w:ascii="Arial" w:hAnsi="Arial" w:eastAsia="Arial" w:cs="Arial"/>
                <w:color w:val="0070C0"/>
              </w:rPr>
            </w:pPr>
            <w:r w:rsidRPr="328355BD" w:rsidR="00EE6490">
              <w:rPr>
                <w:rStyle w:val="normaltextrun"/>
                <w:rFonts w:ascii="Arial" w:hAnsi="Arial" w:eastAsia="Arial" w:cs="Arial"/>
                <w:color w:val="0070C0"/>
              </w:rPr>
              <w:t>tbc</w:t>
            </w:r>
            <w:r w:rsidRPr="328355BD" w:rsidR="00EE6490">
              <w:rPr>
                <w:rStyle w:val="eop"/>
                <w:rFonts w:ascii="Arial" w:hAnsi="Arial" w:eastAsia="Arial" w:cs="Arial"/>
                <w:color w:val="0070C0"/>
              </w:rPr>
              <w:t> </w:t>
            </w:r>
          </w:p>
        </w:tc>
      </w:tr>
      <w:tr w:rsidRPr="00281CDB" w:rsidR="001E319F" w:rsidTr="328355BD" w14:paraId="60A43C4C" w14:textId="6F7AE4A2">
        <w:tc>
          <w:tcPr>
            <w:tcW w:w="1129" w:type="dxa"/>
            <w:tcMar/>
          </w:tcPr>
          <w:p w:rsidRPr="00281CDB" w:rsidR="001E319F" w:rsidP="328355BD" w:rsidRDefault="001E319F" w14:paraId="12F2C936" w14:textId="15BC4E52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5049" w:type="dxa"/>
            <w:tcMar/>
          </w:tcPr>
          <w:p w:rsidRPr="00281CDB" w:rsidR="0034326A" w:rsidP="328355BD" w:rsidRDefault="0034326A" w14:paraId="16EDF481" w14:textId="395BE711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1433" w:type="dxa"/>
            <w:tcMar/>
          </w:tcPr>
          <w:p w:rsidRPr="00281CDB" w:rsidR="001E319F" w:rsidP="328355BD" w:rsidRDefault="001E319F" w14:paraId="0EA164C9" w14:textId="6EAE8CC9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  <w:tc>
          <w:tcPr>
            <w:tcW w:w="1405" w:type="dxa"/>
            <w:tcMar/>
          </w:tcPr>
          <w:p w:rsidRPr="00281CDB" w:rsidR="001E319F" w:rsidP="328355BD" w:rsidRDefault="001E319F" w14:paraId="58A2137C" w14:textId="37987433">
            <w:pPr>
              <w:spacing w:after="120"/>
              <w:rPr>
                <w:rFonts w:ascii="Arial" w:hAnsi="Arial" w:eastAsia="Arial" w:cs="Arial"/>
                <w:color w:val="0070C0"/>
              </w:rPr>
            </w:pPr>
          </w:p>
        </w:tc>
      </w:tr>
    </w:tbl>
    <w:bookmarkEnd w:id="1"/>
    <w:p w:rsidRPr="00281CDB" w:rsidR="001E319F" w:rsidP="328355BD" w:rsidRDefault="001E319F" w14:paraId="31FC7D9B" w14:textId="28265256">
      <w:pPr>
        <w:spacing w:after="120" w:line="240" w:lineRule="auto"/>
        <w:rPr>
          <w:rFonts w:ascii="Arial" w:hAnsi="Arial" w:eastAsia="Arial" w:cs="Arial"/>
        </w:rPr>
      </w:pPr>
      <w:r w:rsidRPr="328355BD" w:rsidR="001E319F">
        <w:rPr>
          <w:rFonts w:ascii="Arial" w:hAnsi="Arial" w:eastAsia="Arial" w:cs="Arial"/>
        </w:rPr>
        <w:t xml:space="preserve"> </w:t>
      </w:r>
    </w:p>
    <w:sectPr w:rsidRPr="00281CDB" w:rsidR="001E319F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6259" w:rsidP="00DF79DF" w:rsidRDefault="00256259" w14:paraId="1D7BE96C" w14:textId="77777777">
      <w:pPr>
        <w:spacing w:after="0" w:line="240" w:lineRule="auto"/>
      </w:pPr>
      <w:r>
        <w:separator/>
      </w:r>
    </w:p>
  </w:endnote>
  <w:endnote w:type="continuationSeparator" w:id="0">
    <w:p w:rsidR="00256259" w:rsidP="00DF79DF" w:rsidRDefault="00256259" w14:paraId="37DFD3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6259" w:rsidP="00DF79DF" w:rsidRDefault="00256259" w14:paraId="364BD0BE" w14:textId="77777777">
      <w:pPr>
        <w:spacing w:after="0" w:line="240" w:lineRule="auto"/>
      </w:pPr>
      <w:r>
        <w:separator/>
      </w:r>
    </w:p>
  </w:footnote>
  <w:footnote w:type="continuationSeparator" w:id="0">
    <w:p w:rsidR="00256259" w:rsidP="00DF79DF" w:rsidRDefault="00256259" w14:paraId="65DD65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66962" w:rsidRDefault="00A66962" w14:paraId="6882F7D9" w14:textId="44DEFC8F">
    <w:pPr>
      <w:pStyle w:val="Header"/>
    </w:pPr>
    <w:r>
      <w:rPr>
        <w:rFonts w:ascii="Akzidenz Grotesk BE Md" w:hAnsi="Akzidenz Grotesk BE Md"/>
        <w:noProof/>
        <w:color w:val="003466"/>
        <w:sz w:val="14"/>
        <w:szCs w:val="14"/>
        <w:shd w:val="clear" w:color="auto" w:fill="E6E6E6"/>
        <w:lang w:val="en-US"/>
      </w:rPr>
      <w:drawing>
        <wp:inline distT="0" distB="0" distL="0" distR="0" wp14:anchorId="404B0419" wp14:editId="18E91428">
          <wp:extent cx="2159195" cy="79806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79DF" w:rsidRDefault="00DF79DF" w14:paraId="38C35DD7" w14:textId="4D927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30D18"/>
    <w:multiLevelType w:val="multilevel"/>
    <w:tmpl w:val="29982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 w:asciiTheme="majorHAnsi" w:hAnsiTheme="majorHAnsi" w:cstheme="majorBid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Theme="majorHAnsi" w:hAnsiTheme="majorHAnsi" w:cstheme="majorBidi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Theme="majorHAnsi" w:hAnsiTheme="majorHAnsi" w:cstheme="majorBidi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Theme="majorHAnsi" w:hAnsiTheme="majorHAnsi" w:cstheme="majorBidi"/>
      </w:rPr>
    </w:lvl>
  </w:abstractNum>
  <w:abstractNum w:abstractNumId="1" w15:restartNumberingAfterBreak="0">
    <w:nsid w:val="31454FF1"/>
    <w:multiLevelType w:val="hybridMultilevel"/>
    <w:tmpl w:val="4C6A0604"/>
    <w:lvl w:ilvl="0" w:tplc="25348E7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54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D9676B"/>
    <w:multiLevelType w:val="hybridMultilevel"/>
    <w:tmpl w:val="6D887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1AD3"/>
    <w:multiLevelType w:val="multilevel"/>
    <w:tmpl w:val="EB108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 w:asciiTheme="majorHAnsi" w:hAnsiTheme="majorHAnsi" w:cstheme="majorBid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Theme="majorHAnsi" w:hAnsiTheme="majorHAnsi" w:cstheme="majorBidi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Theme="majorHAnsi" w:hAnsiTheme="majorHAnsi" w:cstheme="majorBidi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Theme="majorHAnsi" w:hAnsiTheme="majorHAnsi" w:cstheme="majorBidi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asciiTheme="majorHAnsi" w:hAnsiTheme="majorHAnsi" w:cstheme="majorBidi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Theme="majorHAnsi" w:hAnsiTheme="majorHAnsi" w:cstheme="majorBidi"/>
      </w:rPr>
    </w:lvl>
  </w:abstractNum>
  <w:num w:numId="1" w16cid:durableId="1098134084">
    <w:abstractNumId w:val="3"/>
  </w:num>
  <w:num w:numId="2" w16cid:durableId="404642751">
    <w:abstractNumId w:val="0"/>
  </w:num>
  <w:num w:numId="3" w16cid:durableId="1380595648">
    <w:abstractNumId w:val="4"/>
  </w:num>
  <w:num w:numId="4" w16cid:durableId="1953242378">
    <w:abstractNumId w:val="1"/>
  </w:num>
  <w:num w:numId="5" w16cid:durableId="87079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E7"/>
    <w:rsid w:val="00016C8C"/>
    <w:rsid w:val="0002306D"/>
    <w:rsid w:val="0005488F"/>
    <w:rsid w:val="000E0C52"/>
    <w:rsid w:val="001D6179"/>
    <w:rsid w:val="001D6B4A"/>
    <w:rsid w:val="001E319F"/>
    <w:rsid w:val="001F2A29"/>
    <w:rsid w:val="00250A7E"/>
    <w:rsid w:val="00252AB6"/>
    <w:rsid w:val="00256259"/>
    <w:rsid w:val="0027279A"/>
    <w:rsid w:val="00281CDB"/>
    <w:rsid w:val="002C180C"/>
    <w:rsid w:val="003174F2"/>
    <w:rsid w:val="0034326A"/>
    <w:rsid w:val="00394CA5"/>
    <w:rsid w:val="003D6C1E"/>
    <w:rsid w:val="0047019C"/>
    <w:rsid w:val="00501348"/>
    <w:rsid w:val="00516186"/>
    <w:rsid w:val="00550AE1"/>
    <w:rsid w:val="00590158"/>
    <w:rsid w:val="00594E7F"/>
    <w:rsid w:val="00606F46"/>
    <w:rsid w:val="00647355"/>
    <w:rsid w:val="0066059C"/>
    <w:rsid w:val="00666EF0"/>
    <w:rsid w:val="006B4467"/>
    <w:rsid w:val="006B740C"/>
    <w:rsid w:val="00717993"/>
    <w:rsid w:val="007924A1"/>
    <w:rsid w:val="007941C5"/>
    <w:rsid w:val="007C151C"/>
    <w:rsid w:val="00832088"/>
    <w:rsid w:val="008F2931"/>
    <w:rsid w:val="00960425"/>
    <w:rsid w:val="00997D05"/>
    <w:rsid w:val="00A44708"/>
    <w:rsid w:val="00A638DB"/>
    <w:rsid w:val="00A66962"/>
    <w:rsid w:val="00AB67EB"/>
    <w:rsid w:val="00BC0FAF"/>
    <w:rsid w:val="00D019D1"/>
    <w:rsid w:val="00DE5462"/>
    <w:rsid w:val="00DF6E2C"/>
    <w:rsid w:val="00DF79DF"/>
    <w:rsid w:val="00E24EAF"/>
    <w:rsid w:val="00E50951"/>
    <w:rsid w:val="00E631AD"/>
    <w:rsid w:val="00E81773"/>
    <w:rsid w:val="00EB2456"/>
    <w:rsid w:val="00EB423D"/>
    <w:rsid w:val="00EE6490"/>
    <w:rsid w:val="00F66AA6"/>
    <w:rsid w:val="00FC77E7"/>
    <w:rsid w:val="00FD4EF4"/>
    <w:rsid w:val="00FE348A"/>
    <w:rsid w:val="08C2E509"/>
    <w:rsid w:val="08E50552"/>
    <w:rsid w:val="09767A05"/>
    <w:rsid w:val="1345E849"/>
    <w:rsid w:val="13F0D15C"/>
    <w:rsid w:val="152E6670"/>
    <w:rsid w:val="18C4BCCD"/>
    <w:rsid w:val="1B727613"/>
    <w:rsid w:val="1BA31E65"/>
    <w:rsid w:val="210FA946"/>
    <w:rsid w:val="21A71355"/>
    <w:rsid w:val="27DF5E62"/>
    <w:rsid w:val="2B1847B0"/>
    <w:rsid w:val="2CCD4967"/>
    <w:rsid w:val="31C524A5"/>
    <w:rsid w:val="328355BD"/>
    <w:rsid w:val="354EE0BC"/>
    <w:rsid w:val="39071339"/>
    <w:rsid w:val="457E7AB8"/>
    <w:rsid w:val="461AB3B0"/>
    <w:rsid w:val="4734E7CF"/>
    <w:rsid w:val="478D4246"/>
    <w:rsid w:val="49AA5B8B"/>
    <w:rsid w:val="4D9CF5C9"/>
    <w:rsid w:val="4F4495CF"/>
    <w:rsid w:val="50B2E8C8"/>
    <w:rsid w:val="53E531DA"/>
    <w:rsid w:val="544EAED3"/>
    <w:rsid w:val="55F5274E"/>
    <w:rsid w:val="5AE2F458"/>
    <w:rsid w:val="5E2A3FA0"/>
    <w:rsid w:val="675A74BF"/>
    <w:rsid w:val="7B074B0F"/>
    <w:rsid w:val="7BF96E84"/>
    <w:rsid w:val="7C5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1011F"/>
  <w15:chartTrackingRefBased/>
  <w15:docId w15:val="{98017F45-A3E7-43C3-A8AF-765FFC6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279A"/>
  </w:style>
  <w:style w:type="paragraph" w:styleId="Heading1">
    <w:name w:val="heading 1"/>
    <w:basedOn w:val="Normal"/>
    <w:next w:val="Normal"/>
    <w:link w:val="Heading1Char"/>
    <w:uiPriority w:val="9"/>
    <w:qFormat/>
    <w:rsid w:val="007924A1"/>
    <w:pPr>
      <w:keepNext/>
      <w:keepLines/>
      <w:numPr>
        <w:numId w:val="5"/>
      </w:numPr>
      <w:spacing w:before="240" w:after="0"/>
      <w:outlineLvl w:val="0"/>
    </w:pPr>
    <w:rPr>
      <w:rFonts w:eastAsia="Arial" w:asciiTheme="majorHAnsi" w:hAnsiTheme="majorHAnsi" w:cstheme="majorBidi"/>
      <w:color w:val="2F5496" w:themeColor="accent1" w:themeShade="BF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79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0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0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0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0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0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0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0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7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50AE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924A1"/>
    <w:rPr>
      <w:rFonts w:eastAsia="Arial" w:asciiTheme="majorHAnsi" w:hAnsiTheme="majorHAnsi" w:cstheme="majorBidi"/>
      <w:color w:val="2F5496" w:themeColor="accent1" w:themeShade="BF"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2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0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4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4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79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79DF"/>
  </w:style>
  <w:style w:type="paragraph" w:styleId="Footer">
    <w:name w:val="footer"/>
    <w:basedOn w:val="Normal"/>
    <w:link w:val="FooterChar"/>
    <w:uiPriority w:val="99"/>
    <w:unhideWhenUsed/>
    <w:rsid w:val="00DF79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79DF"/>
  </w:style>
  <w:style w:type="paragraph" w:styleId="Revision">
    <w:name w:val="Revision"/>
    <w:hidden/>
    <w:uiPriority w:val="99"/>
    <w:semiHidden/>
    <w:rsid w:val="00FE34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74F2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27279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279A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27279A"/>
  </w:style>
  <w:style w:type="character" w:styleId="eop" w:customStyle="1">
    <w:name w:val="eop"/>
    <w:basedOn w:val="DefaultParagraphFont"/>
    <w:rsid w:val="0027279A"/>
  </w:style>
  <w:style w:type="character" w:styleId="FollowedHyperlink">
    <w:name w:val="FollowedHyperlink"/>
    <w:basedOn w:val="DefaultParagraphFont"/>
    <w:uiPriority w:val="99"/>
    <w:semiHidden/>
    <w:unhideWhenUsed/>
    <w:rsid w:val="0027279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1618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61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180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180C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180C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180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180C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180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180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4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uniofnottm.sharepoint.com/:w:/s/RiskandAssuranceprivateTeam/EfmXgf0hTBFHmZz58lvevjQBUKxl4FVZ-LxjIp8BeQr7Jg?e=I1EOIW" TargetMode="External" Id="R4fb446684ff04c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8E79-6024-4D4D-B848-C4D27EBED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7E38-709C-4C37-8058-EA182D65A31E}"/>
</file>

<file path=customXml/itemProps3.xml><?xml version="1.0" encoding="utf-8"?>
<ds:datastoreItem xmlns:ds="http://schemas.openxmlformats.org/officeDocument/2006/customXml" ds:itemID="{3DBCC5B0-4204-43EB-85B5-46F4605C3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DDAA7-CBAD-4AF5-9DAB-C3B1FEFF47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Nottingham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Seeley (staff)</dc:creator>
  <cp:keywords/>
  <dc:description/>
  <cp:lastModifiedBy>Ian Bainbridge (staff)</cp:lastModifiedBy>
  <cp:revision>6</cp:revision>
  <dcterms:created xsi:type="dcterms:W3CDTF">2025-01-15T14:42:00Z</dcterms:created>
  <dcterms:modified xsi:type="dcterms:W3CDTF">2025-01-23T16:35:14Z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0x010100923DA1DFA5B546448D52FC16400106FA</vt:lpwstr>
  </property>
</Properties>
</file>