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FB85" w14:textId="77777777" w:rsidR="008C5E2A" w:rsidRDefault="000469E8" w:rsidP="001D2E28">
      <w:pPr>
        <w:spacing w:before="14" w:line="375" w:lineRule="exact"/>
        <w:textAlignment w:val="baseline"/>
        <w:rPr>
          <w:rFonts w:ascii="Verdana" w:eastAsia="Verdana" w:hAnsi="Verdana"/>
          <w:b/>
          <w:color w:val="000000"/>
          <w:spacing w:val="-1"/>
          <w:sz w:val="32"/>
        </w:rPr>
      </w:pPr>
      <w:r>
        <w:rPr>
          <w:rFonts w:ascii="Verdana" w:eastAsia="Verdana" w:hAnsi="Verdana"/>
          <w:b/>
          <w:color w:val="000000"/>
          <w:spacing w:val="-1"/>
          <w:sz w:val="32"/>
        </w:rPr>
        <w:t xml:space="preserve">REPORT FORM - use of </w:t>
      </w:r>
      <w:r w:rsidR="001D2E28">
        <w:rPr>
          <w:rFonts w:ascii="Verdana" w:eastAsia="Verdana" w:hAnsi="Verdana"/>
          <w:b/>
          <w:color w:val="000000"/>
          <w:spacing w:val="-1"/>
          <w:sz w:val="32"/>
        </w:rPr>
        <w:t>Marks Adjustment</w:t>
      </w:r>
    </w:p>
    <w:p w14:paraId="699B1546" w14:textId="77777777" w:rsidR="008C5E2A" w:rsidRDefault="001D2E28" w:rsidP="001D2E28">
      <w:pPr>
        <w:spacing w:before="637" w:after="331" w:line="241" w:lineRule="exact"/>
        <w:textAlignment w:val="baseline"/>
        <w:rPr>
          <w:rFonts w:ascii="Verdana" w:eastAsia="Verdana" w:hAnsi="Verdana"/>
          <w:b/>
          <w:color w:val="00000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143510" distL="0" distR="0" simplePos="0" relativeHeight="251654656" behindDoc="1" locked="0" layoutInCell="1" allowOverlap="1" wp14:anchorId="14BDBA50" wp14:editId="4DA14D67">
                <wp:simplePos x="0" y="0"/>
                <wp:positionH relativeFrom="margin">
                  <wp:align>left</wp:align>
                </wp:positionH>
                <wp:positionV relativeFrom="page">
                  <wp:posOffset>1933575</wp:posOffset>
                </wp:positionV>
                <wp:extent cx="5892800" cy="2276475"/>
                <wp:effectExtent l="0" t="0" r="12700" b="9525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C582E" w14:textId="77777777" w:rsidR="008C5E2A" w:rsidRDefault="008C5E2A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11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152.25pt;width:464pt;height:179.25pt;z-index:-251661824;visibility:visible;mso-wrap-style:square;mso-width-percent:0;mso-height-percent:0;mso-wrap-distance-left:0;mso-wrap-distance-top:0;mso-wrap-distance-right:0;mso-wrap-distance-bottom:11.3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" filled="f" stroked="f">
                <v:textbox inset="0,0,0,0">
                  <w:txbxContent>
                    <w:p w:rsidR="008C5E2A" w:rsidRDefault="008C5E2A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11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Verdana" w:eastAsia="Verdana" w:hAnsi="Verdana"/>
          <w:b/>
          <w:color w:val="000000"/>
          <w:sz w:val="20"/>
        </w:rPr>
        <w:t>Marks Adjustment</w:t>
      </w:r>
      <w:r w:rsidR="000469E8">
        <w:rPr>
          <w:rFonts w:ascii="Verdana" w:eastAsia="Verdana" w:hAnsi="Verdana"/>
          <w:b/>
          <w:color w:val="000000"/>
          <w:sz w:val="20"/>
        </w:rPr>
        <w:t xml:space="preserve"> (</w:t>
      </w:r>
      <w:proofErr w:type="spellStart"/>
      <w:r>
        <w:rPr>
          <w:rFonts w:ascii="Verdana" w:eastAsia="Verdana" w:hAnsi="Verdana"/>
          <w:b/>
          <w:color w:val="000000"/>
          <w:sz w:val="20"/>
        </w:rPr>
        <w:t>Normalisation</w:t>
      </w:r>
      <w:proofErr w:type="spellEnd"/>
      <w:r w:rsidR="000469E8">
        <w:rPr>
          <w:rFonts w:ascii="Verdana" w:eastAsia="Verdana" w:hAnsi="Verdana"/>
          <w:b/>
          <w:color w:val="000000"/>
          <w:sz w:val="20"/>
        </w:rPr>
        <w:t>)</w:t>
      </w:r>
    </w:p>
    <w:p w14:paraId="7D8C1736" w14:textId="77777777" w:rsidR="008C5E2A" w:rsidRDefault="000469E8" w:rsidP="001D2E28">
      <w:pPr>
        <w:spacing w:before="16" w:after="269" w:line="243" w:lineRule="exact"/>
        <w:ind w:right="106"/>
        <w:textAlignment w:val="baseline"/>
        <w:rPr>
          <w:rFonts w:ascii="Verdana" w:eastAsia="Verdana" w:hAnsi="Verdana"/>
          <w:color w:val="000000"/>
          <w:sz w:val="20"/>
        </w:rPr>
      </w:pPr>
      <w:r>
        <w:rPr>
          <w:rFonts w:ascii="Verdana" w:eastAsia="Verdana" w:hAnsi="Verdana"/>
          <w:color w:val="000000"/>
          <w:sz w:val="20"/>
        </w:rPr>
        <w:t>The following has been agreed by the University: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0"/>
      </w:tblGrid>
      <w:tr w:rsidR="008C5E2A" w14:paraId="3B1940F8" w14:textId="77777777" w:rsidTr="001D2E28">
        <w:trPr>
          <w:trHeight w:hRule="exact" w:val="2837"/>
        </w:trPr>
        <w:tc>
          <w:tcPr>
            <w:tcW w:w="92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4F4F4" w:fill="F4F4F4"/>
          </w:tcPr>
          <w:p w14:paraId="02636B55" w14:textId="77777777" w:rsidR="008C5E2A" w:rsidRDefault="000469E8" w:rsidP="00775B4A">
            <w:pPr>
              <w:spacing w:before="2" w:line="300" w:lineRule="exact"/>
              <w:ind w:left="106" w:right="322"/>
              <w:jc w:val="both"/>
              <w:textAlignment w:val="baseline"/>
              <w:rPr>
                <w:rFonts w:ascii="Verdana" w:eastAsia="Verdana" w:hAnsi="Verdana"/>
                <w:color w:val="515151"/>
                <w:spacing w:val="-2"/>
                <w:sz w:val="18"/>
              </w:rPr>
            </w:pPr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A School is expected to consider data regarding marks on modules for which it has responsibility, </w:t>
            </w:r>
            <w:proofErr w:type="spellStart"/>
            <w:proofErr w:type="gramStart"/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>eg</w:t>
            </w:r>
            <w:proofErr w:type="spellEnd"/>
            <w:proofErr w:type="gramEnd"/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average marks for each module, to identify possible issues with the assessment process. Any adjustment of module</w:t>
            </w:r>
            <w:r w:rsidR="00D11D91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element</w:t>
            </w:r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marks or </w:t>
            </w:r>
            <w:proofErr w:type="spellStart"/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>normalisation</w:t>
            </w:r>
            <w:proofErr w:type="spellEnd"/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by the </w:t>
            </w:r>
            <w:proofErr w:type="gramStart"/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>School</w:t>
            </w:r>
            <w:proofErr w:type="gramEnd"/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arising from this analysis (as distinct from adjustments occurring through the normal moderation process) should only be made where inconsistencies are believed to result from a flaw (or other issue which may have negatively</w:t>
            </w:r>
            <w:r w:rsidR="00775B4A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eastAsia="Verdana" w:hAnsi="Verdana"/>
                <w:color w:val="515151"/>
                <w:spacing w:val="-2"/>
                <w:sz w:val="18"/>
              </w:rPr>
              <w:t xml:space="preserve">affected student performance) in some element of the assessment. If </w:t>
            </w:r>
            <w:proofErr w:type="spellStart"/>
            <w:r>
              <w:rPr>
                <w:rFonts w:ascii="Verdana" w:eastAsia="Verdana" w:hAnsi="Verdana"/>
                <w:color w:val="515151"/>
                <w:spacing w:val="-2"/>
                <w:sz w:val="18"/>
              </w:rPr>
              <w:t>normalisation</w:t>
            </w:r>
            <w:proofErr w:type="spellEnd"/>
            <w:r>
              <w:rPr>
                <w:rFonts w:ascii="Verdana" w:eastAsia="Verdana" w:hAnsi="Verdana"/>
                <w:color w:val="515151"/>
                <w:spacing w:val="-2"/>
                <w:sz w:val="18"/>
              </w:rPr>
              <w:t xml:space="preserve"> is used, the details of the process and reasons for its use will be (i) clearly communicated to students via the module feedback report; (ii) communicated t</w:t>
            </w:r>
            <w:r w:rsidR="001D2E28">
              <w:rPr>
                <w:rFonts w:ascii="Verdana" w:eastAsia="Verdana" w:hAnsi="Verdana"/>
                <w:color w:val="515151"/>
                <w:spacing w:val="-2"/>
                <w:sz w:val="18"/>
              </w:rPr>
              <w:t xml:space="preserve">o Student Services Development (Academic Processes) </w:t>
            </w:r>
            <w:r>
              <w:rPr>
                <w:rFonts w:ascii="Verdana" w:eastAsia="Verdana" w:hAnsi="Verdana"/>
                <w:color w:val="515151"/>
                <w:spacing w:val="-2"/>
                <w:sz w:val="18"/>
              </w:rPr>
              <w:t>for report to QSC.</w:t>
            </w:r>
          </w:p>
        </w:tc>
      </w:tr>
    </w:tbl>
    <w:p w14:paraId="52DE4090" w14:textId="77777777" w:rsidR="008C5E2A" w:rsidRDefault="008C5E2A">
      <w:pPr>
        <w:spacing w:after="206" w:line="20" w:lineRule="exact"/>
      </w:pPr>
    </w:p>
    <w:p w14:paraId="335FB652" w14:textId="77777777" w:rsidR="001D2E28" w:rsidRDefault="001D2E28" w:rsidP="001D2E28">
      <w:pPr>
        <w:ind w:left="72" w:right="720"/>
        <w:textAlignment w:val="baseline"/>
        <w:rPr>
          <w:rFonts w:ascii="Verdana" w:eastAsia="Verdana" w:hAnsi="Verdana"/>
          <w:color w:val="000000"/>
          <w:sz w:val="20"/>
        </w:rPr>
      </w:pPr>
    </w:p>
    <w:p w14:paraId="79E231BD" w14:textId="297E311B" w:rsidR="008C5E2A" w:rsidRPr="00446B42" w:rsidRDefault="000469E8" w:rsidP="001D2E28">
      <w:pPr>
        <w:ind w:left="72" w:right="720"/>
        <w:textAlignment w:val="baseline"/>
        <w:rPr>
          <w:rFonts w:ascii="Verdana" w:eastAsia="Verdana" w:hAnsi="Verdana"/>
          <w:b/>
          <w:color w:val="000000"/>
          <w:sz w:val="20"/>
          <w:szCs w:val="20"/>
        </w:rPr>
      </w:pPr>
      <w:r w:rsidRPr="00446B42">
        <w:rPr>
          <w:rFonts w:ascii="Verdana" w:eastAsia="Verdana" w:hAnsi="Verdana"/>
          <w:color w:val="000000"/>
          <w:sz w:val="20"/>
          <w:szCs w:val="20"/>
        </w:rPr>
        <w:t>Schools are required to submit an annual report even if there is a null return</w:t>
      </w:r>
      <w:r w:rsidRPr="00446B42">
        <w:rPr>
          <w:rStyle w:val="FootnoteReference"/>
          <w:rFonts w:ascii="Verdana" w:eastAsia="Verdana" w:hAnsi="Verdana"/>
          <w:color w:val="000000"/>
          <w:sz w:val="20"/>
          <w:szCs w:val="20"/>
        </w:rPr>
        <w:footnoteReference w:id="1"/>
      </w:r>
      <w:r w:rsidRPr="00446B42">
        <w:rPr>
          <w:rFonts w:ascii="Verdana" w:eastAsia="Verdana" w:hAnsi="Verdana"/>
          <w:color w:val="000000"/>
          <w:sz w:val="20"/>
          <w:szCs w:val="20"/>
        </w:rPr>
        <w:t xml:space="preserve">. This report should be submitted with the main Examination Board recommendations in June/July (Undergraduate </w:t>
      </w:r>
      <w:proofErr w:type="spellStart"/>
      <w:r w:rsidRPr="00446B42">
        <w:rPr>
          <w:rFonts w:ascii="Verdana" w:eastAsia="Verdana" w:hAnsi="Verdana"/>
          <w:color w:val="000000"/>
          <w:sz w:val="20"/>
          <w:szCs w:val="20"/>
        </w:rPr>
        <w:t>programmes</w:t>
      </w:r>
      <w:proofErr w:type="spellEnd"/>
      <w:r w:rsidRPr="00446B42">
        <w:rPr>
          <w:rFonts w:ascii="Verdana" w:eastAsia="Verdana" w:hAnsi="Verdana"/>
          <w:color w:val="000000"/>
          <w:sz w:val="20"/>
          <w:szCs w:val="20"/>
        </w:rPr>
        <w:t xml:space="preserve">) and by November (Taught Postgraduate </w:t>
      </w:r>
      <w:proofErr w:type="spellStart"/>
      <w:r w:rsidRPr="00446B42">
        <w:rPr>
          <w:rFonts w:ascii="Verdana" w:eastAsia="Verdana" w:hAnsi="Verdana"/>
          <w:sz w:val="20"/>
          <w:szCs w:val="20"/>
        </w:rPr>
        <w:t>programmes</w:t>
      </w:r>
      <w:proofErr w:type="spellEnd"/>
      <w:r w:rsidRPr="00446B42">
        <w:rPr>
          <w:rFonts w:ascii="Verdana" w:eastAsia="Verdana" w:hAnsi="Verdana"/>
          <w:sz w:val="20"/>
          <w:szCs w:val="20"/>
        </w:rPr>
        <w:t xml:space="preserve">) </w:t>
      </w:r>
      <w:hyperlink r:id="rId10">
        <w:r w:rsidRPr="00446B42">
          <w:rPr>
            <w:rFonts w:ascii="Verdana" w:eastAsia="Verdana" w:hAnsi="Verdana"/>
            <w:sz w:val="20"/>
            <w:szCs w:val="20"/>
          </w:rPr>
          <w:t>to</w:t>
        </w:r>
      </w:hyperlink>
      <w:r w:rsidR="00446B42" w:rsidRPr="00446B42">
        <w:rPr>
          <w:rFonts w:ascii="Verdana" w:eastAsia="Verdana" w:hAnsi="Verdana"/>
          <w:sz w:val="20"/>
          <w:szCs w:val="20"/>
        </w:rPr>
        <w:t xml:space="preserve"> </w:t>
      </w:r>
      <w:r w:rsidR="00F12DBB" w:rsidRPr="00446B42">
        <w:rPr>
          <w:rStyle w:val="Hyperlink"/>
          <w:rFonts w:ascii="Verdana" w:eastAsia="Verdana" w:hAnsi="Verdana"/>
          <w:color w:val="auto"/>
          <w:sz w:val="20"/>
          <w:szCs w:val="20"/>
          <w:u w:val="none"/>
        </w:rPr>
        <w:t>ss-qsc-cases@nottingham.ac.uk</w:t>
      </w:r>
    </w:p>
    <w:p w14:paraId="759B2A93" w14:textId="77777777" w:rsidR="001D2E28" w:rsidRPr="00446B42" w:rsidRDefault="001D2E28" w:rsidP="001D2E28">
      <w:pPr>
        <w:ind w:left="72" w:right="720"/>
        <w:textAlignment w:val="baseline"/>
        <w:rPr>
          <w:rFonts w:ascii="Verdana" w:eastAsia="Verdana" w:hAnsi="Verdana"/>
          <w:b/>
          <w:color w:val="000000"/>
          <w:sz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5520"/>
      </w:tblGrid>
      <w:tr w:rsidR="008C5E2A" w14:paraId="26710391" w14:textId="77777777" w:rsidTr="001D2E28">
        <w:trPr>
          <w:trHeight w:hRule="exact" w:val="57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D409D" w14:textId="77777777" w:rsidR="008C5E2A" w:rsidRDefault="000469E8" w:rsidP="001D2E28">
            <w:pPr>
              <w:ind w:left="115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Administering School/Dept: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4A093" w14:textId="77777777" w:rsidR="008C5E2A" w:rsidRDefault="008C5E2A" w:rsidP="001D2E2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8C5E2A" w14:paraId="4B6C9D5F" w14:textId="77777777" w:rsidTr="001D2E28">
        <w:trPr>
          <w:trHeight w:hRule="exact" w:val="1109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2952F" w14:textId="77777777" w:rsidR="008C5E2A" w:rsidRDefault="000469E8" w:rsidP="001D2E28">
            <w:pPr>
              <w:ind w:left="115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Campus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21F29" w14:textId="77777777" w:rsidR="001D2E28" w:rsidRDefault="000469E8" w:rsidP="001D2E28">
            <w:pPr>
              <w:ind w:left="431" w:right="2410"/>
              <w:textAlignment w:val="baseline"/>
              <w:rPr>
                <w:rFonts w:ascii="Verdana" w:eastAsia="Verdana" w:hAnsi="Verdana"/>
                <w:color w:val="000000"/>
                <w:spacing w:val="-4"/>
                <w:sz w:val="20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20"/>
              </w:rPr>
              <w:t xml:space="preserve">UK </w:t>
            </w:r>
          </w:p>
          <w:p w14:paraId="33B26819" w14:textId="77777777" w:rsidR="001D2E28" w:rsidRDefault="000469E8" w:rsidP="001D2E28">
            <w:pPr>
              <w:ind w:left="431" w:right="2410"/>
              <w:textAlignment w:val="baseline"/>
              <w:rPr>
                <w:rFonts w:ascii="Verdana" w:eastAsia="Verdana" w:hAnsi="Verdana"/>
                <w:color w:val="000000"/>
                <w:spacing w:val="-4"/>
                <w:sz w:val="20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20"/>
              </w:rPr>
              <w:t xml:space="preserve">Ningbo </w:t>
            </w:r>
          </w:p>
          <w:p w14:paraId="5E5058D4" w14:textId="77777777" w:rsidR="008C5E2A" w:rsidRDefault="000469E8" w:rsidP="001D2E28">
            <w:pPr>
              <w:ind w:left="431" w:right="2410"/>
              <w:textAlignment w:val="baseline"/>
              <w:rPr>
                <w:rFonts w:ascii="Verdana" w:eastAsia="Verdana" w:hAnsi="Verdana"/>
                <w:color w:val="000000"/>
                <w:spacing w:val="-4"/>
                <w:sz w:val="20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20"/>
              </w:rPr>
              <w:t>Malaysia</w:t>
            </w:r>
          </w:p>
        </w:tc>
      </w:tr>
      <w:tr w:rsidR="008C5E2A" w14:paraId="5E978784" w14:textId="77777777" w:rsidTr="001D2E28">
        <w:trPr>
          <w:trHeight w:hRule="exact" w:val="566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DE35FB" w14:textId="77777777" w:rsidR="008C5E2A" w:rsidRDefault="000469E8" w:rsidP="001D2E28">
            <w:pPr>
              <w:ind w:left="115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Module Code/Title: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AA51" w14:textId="77777777" w:rsidR="008C5E2A" w:rsidRDefault="008C5E2A" w:rsidP="001D2E2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8C5E2A" w14:paraId="7BD40124" w14:textId="77777777" w:rsidTr="001D2E28">
        <w:trPr>
          <w:trHeight w:hRule="exact" w:val="572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6C597" w14:textId="77777777" w:rsidR="008C5E2A" w:rsidRDefault="000469E8" w:rsidP="001D2E28">
            <w:pPr>
              <w:ind w:left="115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Other contributing Schools: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72E9D" w14:textId="77777777" w:rsidR="008C5E2A" w:rsidRDefault="008C5E2A" w:rsidP="001D2E2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0F3CC68E" w14:textId="77777777" w:rsidR="008C5E2A" w:rsidRDefault="008C5E2A" w:rsidP="001D2E28"/>
    <w:p w14:paraId="2999EE75" w14:textId="77777777" w:rsidR="001D2E28" w:rsidRDefault="001D2E28" w:rsidP="001D2E28"/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0"/>
      </w:tblGrid>
      <w:tr w:rsidR="008C5E2A" w14:paraId="577B2290" w14:textId="77777777">
        <w:trPr>
          <w:trHeight w:hRule="exact" w:val="2851"/>
        </w:trPr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D32D" w14:textId="77777777" w:rsidR="008C5E2A" w:rsidRDefault="000469E8" w:rsidP="001D2E28">
            <w:pPr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 xml:space="preserve">Rationale for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20"/>
              </w:rPr>
              <w:t>normalisation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20"/>
              </w:rPr>
              <w:t xml:space="preserve"> of marks</w:t>
            </w:r>
          </w:p>
        </w:tc>
      </w:tr>
    </w:tbl>
    <w:p w14:paraId="29E9D783" w14:textId="77777777" w:rsidR="008C5E2A" w:rsidRPr="000469E8" w:rsidRDefault="008C5E2A" w:rsidP="001D2E28">
      <w:pPr>
        <w:ind w:right="216"/>
        <w:textAlignment w:val="baseline"/>
        <w:rPr>
          <w:rFonts w:ascii="Verdana" w:eastAsia="Verdana" w:hAnsi="Verdana"/>
          <w:color w:val="000000"/>
          <w:spacing w:val="-11"/>
          <w:sz w:val="13"/>
        </w:rPr>
        <w:sectPr w:rsidR="008C5E2A" w:rsidRPr="000469E8">
          <w:pgSz w:w="11904" w:h="16843"/>
          <w:pgMar w:top="1440" w:right="1313" w:bottom="1027" w:left="1311" w:header="720" w:footer="720" w:gutter="0"/>
          <w:cols w:space="720"/>
        </w:sectPr>
      </w:pPr>
    </w:p>
    <w:tbl>
      <w:tblPr>
        <w:tblpPr w:leftFromText="180" w:rightFromText="180" w:vertAnchor="page" w:horzAnchor="margin" w:tblpY="1351"/>
        <w:tblW w:w="9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0"/>
      </w:tblGrid>
      <w:tr w:rsidR="00213F58" w14:paraId="3DA34A15" w14:textId="77777777" w:rsidTr="00213F58">
        <w:trPr>
          <w:trHeight w:hRule="exact" w:val="2856"/>
        </w:trPr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D9755" w14:textId="77777777" w:rsidR="00213F58" w:rsidRDefault="00213F58" w:rsidP="00213F58">
            <w:pPr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lastRenderedPageBreak/>
              <w:t xml:space="preserve">Method used for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20"/>
              </w:rPr>
              <w:t>normalisation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20"/>
              </w:rPr>
              <w:t xml:space="preserve"> of marks</w:t>
            </w:r>
          </w:p>
        </w:tc>
      </w:tr>
    </w:tbl>
    <w:p w14:paraId="3C5DD5EE" w14:textId="77777777" w:rsidR="00213F58" w:rsidRDefault="00213F58" w:rsidP="001D2E28"/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0"/>
      </w:tblGrid>
      <w:tr w:rsidR="008C5E2A" w14:paraId="452C78EE" w14:textId="77777777">
        <w:trPr>
          <w:trHeight w:hRule="exact" w:val="1603"/>
        </w:trPr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4DE2E" w14:textId="77777777" w:rsidR="008C5E2A" w:rsidRDefault="000469E8" w:rsidP="001D2E28">
            <w:pPr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 xml:space="preserve">Method used to inform students of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20"/>
              </w:rPr>
              <w:t>normalisation</w:t>
            </w:r>
            <w:proofErr w:type="spellEnd"/>
            <w:r>
              <w:rPr>
                <w:rFonts w:ascii="Verdana" w:eastAsia="Verdana" w:hAnsi="Verdana"/>
                <w:b/>
                <w:color w:val="000000"/>
                <w:sz w:val="20"/>
              </w:rPr>
              <w:t xml:space="preserve"> of marks</w:t>
            </w:r>
          </w:p>
        </w:tc>
      </w:tr>
    </w:tbl>
    <w:p w14:paraId="562823CB" w14:textId="77777777" w:rsidR="00213F58" w:rsidRDefault="00213F58" w:rsidP="001D2E28"/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0"/>
      </w:tblGrid>
      <w:tr w:rsidR="008C5E2A" w14:paraId="4A2BFB66" w14:textId="77777777">
        <w:trPr>
          <w:trHeight w:hRule="exact" w:val="2852"/>
        </w:trPr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1FAB6" w14:textId="77777777" w:rsidR="008C5E2A" w:rsidRDefault="000469E8" w:rsidP="001D2E28">
            <w:pPr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 xml:space="preserve">Remedial measures implemented </w:t>
            </w:r>
            <w:proofErr w:type="gramStart"/>
            <w:r>
              <w:rPr>
                <w:rFonts w:ascii="Verdana" w:eastAsia="Verdana" w:hAnsi="Verdana"/>
                <w:b/>
                <w:color w:val="000000"/>
                <w:sz w:val="20"/>
              </w:rPr>
              <w:t>as a result of</w:t>
            </w:r>
            <w:proofErr w:type="gramEnd"/>
            <w:r>
              <w:rPr>
                <w:rFonts w:ascii="Verdana" w:eastAsia="Verdana" w:hAnsi="Verdana"/>
                <w:b/>
                <w:color w:val="000000"/>
                <w:sz w:val="20"/>
              </w:rPr>
              <w:t xml:space="preserve"> this </w:t>
            </w:r>
            <w:proofErr w:type="spellStart"/>
            <w:r>
              <w:rPr>
                <w:rFonts w:ascii="Verdana" w:eastAsia="Verdana" w:hAnsi="Verdana"/>
                <w:b/>
                <w:color w:val="000000"/>
                <w:sz w:val="20"/>
              </w:rPr>
              <w:t>normalisation</w:t>
            </w:r>
            <w:proofErr w:type="spellEnd"/>
          </w:p>
        </w:tc>
      </w:tr>
    </w:tbl>
    <w:p w14:paraId="14584562" w14:textId="77777777" w:rsidR="008C5E2A" w:rsidRDefault="008C5E2A" w:rsidP="001D2E28"/>
    <w:p w14:paraId="196A8577" w14:textId="77777777" w:rsidR="008C5E2A" w:rsidRDefault="000469E8" w:rsidP="001D2E28">
      <w:pPr>
        <w:ind w:left="72"/>
        <w:textAlignment w:val="baseline"/>
        <w:rPr>
          <w:rFonts w:ascii="Verdana" w:eastAsia="Verdana" w:hAnsi="Verdana"/>
          <w:b/>
          <w:color w:val="000000"/>
          <w:spacing w:val="16"/>
          <w:sz w:val="20"/>
        </w:rPr>
      </w:pPr>
      <w:r>
        <w:rPr>
          <w:rFonts w:ascii="Verdana" w:eastAsia="Verdana" w:hAnsi="Verdana"/>
          <w:b/>
          <w:color w:val="000000"/>
          <w:spacing w:val="16"/>
          <w:sz w:val="20"/>
        </w:rPr>
        <w:t>Either</w:t>
      </w:r>
    </w:p>
    <w:p w14:paraId="268ED6F0" w14:textId="77777777" w:rsidR="001D2E28" w:rsidRDefault="001D2E28" w:rsidP="001D2E28">
      <w:pPr>
        <w:ind w:left="72"/>
        <w:textAlignment w:val="baseline"/>
        <w:rPr>
          <w:rFonts w:ascii="Verdana" w:eastAsia="Verdana" w:hAnsi="Verdana"/>
          <w:b/>
          <w:color w:val="000000"/>
          <w:spacing w:val="16"/>
          <w:sz w:val="20"/>
        </w:rPr>
      </w:pPr>
    </w:p>
    <w:p w14:paraId="50D86B36" w14:textId="77777777" w:rsidR="008C5E2A" w:rsidRDefault="000469E8" w:rsidP="001D2E28">
      <w:pPr>
        <w:ind w:left="72" w:right="144"/>
        <w:textAlignment w:val="baseline"/>
        <w:rPr>
          <w:rFonts w:ascii="Verdana" w:eastAsia="Verdana" w:hAnsi="Verdana"/>
          <w:color w:val="000000"/>
          <w:sz w:val="20"/>
        </w:rPr>
      </w:pPr>
      <w:r>
        <w:rPr>
          <w:rFonts w:ascii="Verdana" w:eastAsia="Verdana" w:hAnsi="Verdana"/>
          <w:color w:val="000000"/>
          <w:sz w:val="20"/>
        </w:rPr>
        <w:t xml:space="preserve">I confirm that the marks for the module identified above have been </w:t>
      </w:r>
      <w:proofErr w:type="spellStart"/>
      <w:r>
        <w:rPr>
          <w:rFonts w:ascii="Verdana" w:eastAsia="Verdana" w:hAnsi="Verdana"/>
          <w:color w:val="000000"/>
          <w:sz w:val="20"/>
        </w:rPr>
        <w:t>normalised</w:t>
      </w:r>
      <w:proofErr w:type="spellEnd"/>
      <w:r>
        <w:rPr>
          <w:rFonts w:ascii="Verdana" w:eastAsia="Verdana" w:hAnsi="Verdana"/>
          <w:color w:val="000000"/>
          <w:sz w:val="20"/>
        </w:rPr>
        <w:t xml:space="preserve"> in line with </w:t>
      </w:r>
      <w:proofErr w:type="gramStart"/>
      <w:r>
        <w:rPr>
          <w:rFonts w:ascii="Verdana" w:eastAsia="Verdana" w:hAnsi="Verdana"/>
          <w:color w:val="000000"/>
          <w:sz w:val="20"/>
        </w:rPr>
        <w:t>University</w:t>
      </w:r>
      <w:proofErr w:type="gramEnd"/>
      <w:r>
        <w:rPr>
          <w:rFonts w:ascii="Verdana" w:eastAsia="Verdana" w:hAnsi="Verdana"/>
          <w:color w:val="000000"/>
          <w:sz w:val="20"/>
        </w:rPr>
        <w:t xml:space="preserve"> policy for the reason stated, using the method outlined, and that the </w:t>
      </w:r>
      <w:proofErr w:type="spellStart"/>
      <w:r>
        <w:rPr>
          <w:rFonts w:ascii="Verdana" w:eastAsia="Verdana" w:hAnsi="Verdana"/>
          <w:color w:val="000000"/>
          <w:sz w:val="20"/>
        </w:rPr>
        <w:t>normalisation</w:t>
      </w:r>
      <w:proofErr w:type="spellEnd"/>
      <w:r>
        <w:rPr>
          <w:rFonts w:ascii="Verdana" w:eastAsia="Verdana" w:hAnsi="Verdana"/>
          <w:color w:val="000000"/>
          <w:sz w:val="20"/>
        </w:rPr>
        <w:t xml:space="preserve"> of these marks has been/will be clearly communicated to students through the module feedback report. Where relevant, external examiners have been included in the process and have endorsed </w:t>
      </w:r>
      <w:proofErr w:type="spellStart"/>
      <w:r>
        <w:rPr>
          <w:rFonts w:ascii="Verdana" w:eastAsia="Verdana" w:hAnsi="Verdana"/>
          <w:color w:val="000000"/>
          <w:sz w:val="20"/>
        </w:rPr>
        <w:t>normalisation</w:t>
      </w:r>
      <w:proofErr w:type="spellEnd"/>
      <w:r>
        <w:rPr>
          <w:rFonts w:ascii="Verdana" w:eastAsia="Verdana" w:hAnsi="Verdana"/>
          <w:color w:val="000000"/>
          <w:sz w:val="20"/>
        </w:rPr>
        <w:t xml:space="preserve"> in this circumstance.</w:t>
      </w:r>
    </w:p>
    <w:p w14:paraId="1995CF09" w14:textId="77777777" w:rsidR="001D2E28" w:rsidRDefault="001D2E28" w:rsidP="001D2E28">
      <w:pPr>
        <w:ind w:left="72"/>
        <w:textAlignment w:val="baseline"/>
        <w:rPr>
          <w:rFonts w:ascii="Verdana" w:eastAsia="Verdana" w:hAnsi="Verdana"/>
          <w:b/>
          <w:color w:val="000000"/>
          <w:spacing w:val="38"/>
          <w:sz w:val="20"/>
        </w:rPr>
      </w:pPr>
    </w:p>
    <w:p w14:paraId="23344CA3" w14:textId="77777777" w:rsidR="008C5E2A" w:rsidRDefault="000469E8" w:rsidP="001D2E28">
      <w:pPr>
        <w:ind w:left="72"/>
        <w:textAlignment w:val="baseline"/>
        <w:rPr>
          <w:rFonts w:ascii="Verdana" w:eastAsia="Verdana" w:hAnsi="Verdana"/>
          <w:b/>
          <w:color w:val="000000"/>
          <w:spacing w:val="38"/>
          <w:sz w:val="20"/>
        </w:rPr>
      </w:pPr>
      <w:r>
        <w:rPr>
          <w:rFonts w:ascii="Verdana" w:eastAsia="Verdana" w:hAnsi="Verdana"/>
          <w:b/>
          <w:color w:val="000000"/>
          <w:spacing w:val="38"/>
          <w:sz w:val="20"/>
        </w:rPr>
        <w:t>Or</w:t>
      </w:r>
    </w:p>
    <w:p w14:paraId="286CBDD1" w14:textId="77777777" w:rsidR="001D2E28" w:rsidRDefault="001D2E28" w:rsidP="001D2E28">
      <w:pPr>
        <w:ind w:left="72" w:right="504"/>
        <w:textAlignment w:val="baseline"/>
        <w:rPr>
          <w:rFonts w:ascii="Verdana" w:eastAsia="Verdana" w:hAnsi="Verdana"/>
          <w:color w:val="000000"/>
          <w:sz w:val="20"/>
        </w:rPr>
      </w:pPr>
    </w:p>
    <w:p w14:paraId="6EBAC208" w14:textId="77777777" w:rsidR="001D2E28" w:rsidRPr="00213F58" w:rsidRDefault="000469E8" w:rsidP="00213F58">
      <w:pPr>
        <w:ind w:left="72" w:right="504"/>
        <w:textAlignment w:val="baseline"/>
        <w:rPr>
          <w:rFonts w:ascii="Verdana" w:eastAsia="Verdana" w:hAnsi="Verdana"/>
          <w:color w:val="000000"/>
          <w:sz w:val="20"/>
        </w:rPr>
      </w:pPr>
      <w:r>
        <w:rPr>
          <w:rFonts w:ascii="Verdana" w:eastAsia="Verdana" w:hAnsi="Verdana"/>
          <w:color w:val="000000"/>
          <w:sz w:val="20"/>
        </w:rPr>
        <w:t xml:space="preserve">I confirm that marks for none of the modules offered by the School/Department have been </w:t>
      </w:r>
      <w:proofErr w:type="spellStart"/>
      <w:r>
        <w:rPr>
          <w:rFonts w:ascii="Verdana" w:eastAsia="Verdana" w:hAnsi="Verdana"/>
          <w:color w:val="000000"/>
          <w:sz w:val="20"/>
        </w:rPr>
        <w:t>normalised</w:t>
      </w:r>
      <w:proofErr w:type="spellEnd"/>
      <w:r>
        <w:rPr>
          <w:rFonts w:ascii="Verdana" w:eastAsia="Verdana" w:hAnsi="Verdana"/>
          <w:color w:val="000000"/>
          <w:sz w:val="20"/>
        </w:rPr>
        <w:t xml:space="preserve"> in this academic year.</w:t>
      </w:r>
    </w:p>
    <w:p w14:paraId="0DB29536" w14:textId="77777777" w:rsidR="001D2E28" w:rsidRDefault="001D2E28" w:rsidP="001D2E28">
      <w:pPr>
        <w:tabs>
          <w:tab w:val="left" w:pos="6552"/>
        </w:tabs>
        <w:textAlignment w:val="baseline"/>
        <w:rPr>
          <w:rFonts w:ascii="Verdana" w:eastAsia="Verdana" w:hAnsi="Verdana"/>
          <w:b/>
          <w:color w:val="000000"/>
          <w:spacing w:val="-3"/>
          <w:sz w:val="20"/>
        </w:rPr>
      </w:pPr>
    </w:p>
    <w:p w14:paraId="1712E61A" w14:textId="77777777" w:rsidR="00213F58" w:rsidRDefault="00213F58" w:rsidP="001D2E28">
      <w:pPr>
        <w:tabs>
          <w:tab w:val="left" w:pos="6552"/>
        </w:tabs>
        <w:ind w:left="72"/>
        <w:textAlignment w:val="baseline"/>
        <w:rPr>
          <w:rFonts w:ascii="Verdana" w:eastAsia="Verdana" w:hAnsi="Verdana"/>
          <w:b/>
          <w:color w:val="000000"/>
          <w:spacing w:val="-3"/>
          <w:sz w:val="20"/>
        </w:rPr>
      </w:pPr>
    </w:p>
    <w:p w14:paraId="4B1230BC" w14:textId="77777777" w:rsidR="008C5E2A" w:rsidRDefault="000469E8" w:rsidP="001D2E28">
      <w:pPr>
        <w:tabs>
          <w:tab w:val="left" w:pos="6552"/>
        </w:tabs>
        <w:ind w:left="72"/>
        <w:textAlignment w:val="baseline"/>
        <w:rPr>
          <w:rFonts w:ascii="Verdana" w:eastAsia="Verdana" w:hAnsi="Verdana"/>
          <w:b/>
          <w:color w:val="000000"/>
          <w:spacing w:val="-3"/>
          <w:sz w:val="20"/>
        </w:rPr>
      </w:pPr>
      <w:r>
        <w:rPr>
          <w:rFonts w:ascii="Verdana" w:eastAsia="Verdana" w:hAnsi="Verdana"/>
          <w:b/>
          <w:color w:val="000000"/>
          <w:spacing w:val="-3"/>
          <w:sz w:val="20"/>
        </w:rPr>
        <w:t>Reported by:</w:t>
      </w:r>
      <w:r>
        <w:rPr>
          <w:rFonts w:ascii="Verdana" w:eastAsia="Verdana" w:hAnsi="Verdana"/>
          <w:b/>
          <w:color w:val="000000"/>
          <w:spacing w:val="-3"/>
          <w:sz w:val="20"/>
        </w:rPr>
        <w:tab/>
        <w:t>Date:</w:t>
      </w:r>
    </w:p>
    <w:p w14:paraId="13E48C78" w14:textId="77777777" w:rsidR="001D2E28" w:rsidRDefault="001D2E28" w:rsidP="001D2E28">
      <w:pPr>
        <w:tabs>
          <w:tab w:val="left" w:pos="6552"/>
        </w:tabs>
        <w:ind w:left="72"/>
        <w:textAlignment w:val="baseline"/>
        <w:rPr>
          <w:rFonts w:ascii="Verdana" w:eastAsia="Verdana" w:hAnsi="Verdana"/>
          <w:b/>
          <w:color w:val="000000"/>
          <w:spacing w:val="-3"/>
          <w:sz w:val="20"/>
        </w:rPr>
      </w:pPr>
    </w:p>
    <w:p w14:paraId="41ED87D9" w14:textId="77777777" w:rsidR="00213F58" w:rsidRDefault="000469E8" w:rsidP="00213F58">
      <w:pPr>
        <w:ind w:left="72" w:right="504"/>
        <w:textAlignment w:val="baseline"/>
        <w:rPr>
          <w:rFonts w:ascii="Verdana" w:eastAsia="Verdana" w:hAnsi="Verdana"/>
          <w:i/>
          <w:color w:val="000000"/>
          <w:sz w:val="14"/>
        </w:rPr>
      </w:pPr>
      <w:r>
        <w:rPr>
          <w:rFonts w:ascii="Verdana" w:eastAsia="Verdana" w:hAnsi="Verdana"/>
          <w:i/>
          <w:color w:val="000000"/>
          <w:sz w:val="14"/>
        </w:rPr>
        <w:t xml:space="preserve">Please note that the electronic submission of this document to </w:t>
      </w:r>
      <w:r w:rsidR="001D2E28">
        <w:rPr>
          <w:rFonts w:ascii="Verdana" w:eastAsia="Verdana" w:hAnsi="Verdana"/>
          <w:i/>
          <w:color w:val="000000"/>
          <w:sz w:val="14"/>
        </w:rPr>
        <w:t xml:space="preserve">Student Services Development </w:t>
      </w:r>
      <w:r>
        <w:rPr>
          <w:rFonts w:ascii="Verdana" w:eastAsia="Verdana" w:hAnsi="Verdana"/>
          <w:i/>
          <w:color w:val="000000"/>
          <w:sz w:val="14"/>
        </w:rPr>
        <w:t>will be deemed a signed statement, e</w:t>
      </w:r>
      <w:r w:rsidR="00213F58">
        <w:rPr>
          <w:rFonts w:ascii="Verdana" w:eastAsia="Verdana" w:hAnsi="Verdana"/>
          <w:i/>
          <w:color w:val="000000"/>
          <w:sz w:val="14"/>
        </w:rPr>
        <w:t>ven if no signature is provided</w:t>
      </w:r>
    </w:p>
    <w:p w14:paraId="508168C5" w14:textId="77777777" w:rsidR="00213F58" w:rsidRDefault="00213F58" w:rsidP="00213F58">
      <w:pPr>
        <w:rPr>
          <w:rFonts w:ascii="Verdana" w:eastAsia="Verdana" w:hAnsi="Verdana"/>
          <w:b/>
          <w:i/>
          <w:sz w:val="20"/>
        </w:rPr>
      </w:pPr>
    </w:p>
    <w:p w14:paraId="0F9D3EB6" w14:textId="77777777" w:rsidR="00213F58" w:rsidRPr="00213F58" w:rsidRDefault="00213F58" w:rsidP="00213F58">
      <w:pPr>
        <w:rPr>
          <w:rFonts w:ascii="Verdana" w:eastAsia="Verdana" w:hAnsi="Verdana"/>
          <w:b/>
          <w:i/>
          <w:sz w:val="20"/>
        </w:rPr>
      </w:pPr>
      <w:r w:rsidRPr="00213F58">
        <w:rPr>
          <w:rFonts w:ascii="Verdana" w:eastAsia="Verdana" w:hAnsi="Verdana"/>
          <w:b/>
          <w:i/>
          <w:sz w:val="20"/>
        </w:rPr>
        <w:t>For office use only:</w:t>
      </w:r>
    </w:p>
    <w:p w14:paraId="1E7B8A3C" w14:textId="77777777" w:rsidR="00213F58" w:rsidRDefault="00213F58" w:rsidP="00213F58">
      <w:pPr>
        <w:spacing w:after="14" w:line="236" w:lineRule="exact"/>
        <w:textAlignment w:val="baseline"/>
        <w:rPr>
          <w:rFonts w:ascii="Verdana" w:eastAsia="Verdana" w:hAnsi="Verdana"/>
          <w:b/>
          <w:i/>
          <w:color w:val="000000"/>
          <w:sz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2333"/>
        <w:gridCol w:w="5889"/>
      </w:tblGrid>
      <w:tr w:rsidR="00213F58" w:rsidRPr="00213F58" w14:paraId="08E1F65E" w14:textId="77777777" w:rsidTr="00213F58">
        <w:tc>
          <w:tcPr>
            <w:tcW w:w="2333" w:type="dxa"/>
          </w:tcPr>
          <w:p w14:paraId="0472E988" w14:textId="77777777" w:rsidR="00213F58" w:rsidRPr="00213F58" w:rsidRDefault="00213F58" w:rsidP="00213F58">
            <w:pPr>
              <w:spacing w:after="14" w:line="236" w:lineRule="exact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</w:rPr>
            </w:pPr>
            <w:r w:rsidRPr="00213F58">
              <w:rPr>
                <w:rFonts w:ascii="Verdana" w:eastAsia="Verdana" w:hAnsi="Verdana"/>
                <w:b/>
                <w:i/>
                <w:color w:val="000000"/>
                <w:sz w:val="20"/>
              </w:rPr>
              <w:t>Form Received:</w:t>
            </w:r>
          </w:p>
        </w:tc>
        <w:tc>
          <w:tcPr>
            <w:tcW w:w="5889" w:type="dxa"/>
          </w:tcPr>
          <w:p w14:paraId="4775AFB1" w14:textId="77777777" w:rsidR="00213F58" w:rsidRPr="00213F58" w:rsidRDefault="00213F58" w:rsidP="00213F58">
            <w:pPr>
              <w:spacing w:after="14" w:line="236" w:lineRule="exact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</w:rPr>
            </w:pPr>
          </w:p>
        </w:tc>
      </w:tr>
      <w:tr w:rsidR="00213F58" w:rsidRPr="00213F58" w14:paraId="2D089406" w14:textId="77777777" w:rsidTr="00213F58">
        <w:tc>
          <w:tcPr>
            <w:tcW w:w="2333" w:type="dxa"/>
          </w:tcPr>
          <w:p w14:paraId="5FB51830" w14:textId="77777777" w:rsidR="00213F58" w:rsidRPr="00213F58" w:rsidRDefault="00213F58" w:rsidP="00213F58">
            <w:pPr>
              <w:spacing w:after="38" w:line="231" w:lineRule="exact"/>
              <w:textAlignment w:val="baseline"/>
              <w:rPr>
                <w:rFonts w:ascii="Verdana" w:eastAsia="Verdana" w:hAnsi="Verdana"/>
                <w:b/>
                <w:i/>
                <w:color w:val="000000"/>
                <w:spacing w:val="-1"/>
                <w:sz w:val="20"/>
              </w:rPr>
            </w:pPr>
            <w:r w:rsidRPr="00213F58">
              <w:rPr>
                <w:rFonts w:ascii="Verdana" w:eastAsia="Verdana" w:hAnsi="Verdana"/>
                <w:b/>
                <w:i/>
                <w:color w:val="000000"/>
                <w:spacing w:val="-1"/>
                <w:sz w:val="20"/>
              </w:rPr>
              <w:t>Reported to QSC:</w:t>
            </w:r>
          </w:p>
        </w:tc>
        <w:tc>
          <w:tcPr>
            <w:tcW w:w="5889" w:type="dxa"/>
          </w:tcPr>
          <w:p w14:paraId="416DD170" w14:textId="77777777" w:rsidR="00213F58" w:rsidRPr="00213F58" w:rsidRDefault="00213F58" w:rsidP="00213F58">
            <w:pPr>
              <w:spacing w:after="38" w:line="231" w:lineRule="exact"/>
              <w:textAlignment w:val="baseline"/>
              <w:rPr>
                <w:rFonts w:ascii="Verdana" w:eastAsia="Verdana" w:hAnsi="Verdana"/>
                <w:b/>
                <w:i/>
                <w:color w:val="000000"/>
                <w:spacing w:val="-1"/>
                <w:sz w:val="20"/>
              </w:rPr>
            </w:pPr>
          </w:p>
        </w:tc>
      </w:tr>
    </w:tbl>
    <w:p w14:paraId="3D2377F5" w14:textId="77777777" w:rsidR="008C5E2A" w:rsidRDefault="008C5E2A" w:rsidP="00213F58"/>
    <w:sectPr w:rsidR="008C5E2A">
      <w:pgSz w:w="11904" w:h="16843"/>
      <w:pgMar w:top="1152" w:right="1800" w:bottom="104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7E1F" w14:textId="77777777" w:rsidR="000469E8" w:rsidRDefault="000469E8" w:rsidP="000469E8">
      <w:r>
        <w:separator/>
      </w:r>
    </w:p>
  </w:endnote>
  <w:endnote w:type="continuationSeparator" w:id="0">
    <w:p w14:paraId="7537F5A3" w14:textId="77777777" w:rsidR="000469E8" w:rsidRDefault="000469E8" w:rsidP="0004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A760" w14:textId="77777777" w:rsidR="000469E8" w:rsidRDefault="000469E8" w:rsidP="000469E8">
      <w:r>
        <w:separator/>
      </w:r>
    </w:p>
  </w:footnote>
  <w:footnote w:type="continuationSeparator" w:id="0">
    <w:p w14:paraId="2A1B23DE" w14:textId="77777777" w:rsidR="000469E8" w:rsidRDefault="000469E8" w:rsidP="000469E8">
      <w:r>
        <w:continuationSeparator/>
      </w:r>
    </w:p>
  </w:footnote>
  <w:footnote w:id="1">
    <w:p w14:paraId="0248ECFD" w14:textId="77777777" w:rsidR="000469E8" w:rsidRDefault="000469E8" w:rsidP="000469E8">
      <w:pPr>
        <w:spacing w:before="151" w:line="200" w:lineRule="exact"/>
        <w:ind w:left="72" w:right="216"/>
        <w:textAlignment w:val="baseline"/>
        <w:rPr>
          <w:rFonts w:ascii="Verdana" w:eastAsia="Verdana" w:hAnsi="Verdana"/>
          <w:color w:val="000000"/>
          <w:spacing w:val="-11"/>
          <w:sz w:val="13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eastAsia="Verdana" w:hAnsi="Verdana"/>
          <w:color w:val="000000"/>
          <w:spacing w:val="-11"/>
          <w:sz w:val="18"/>
        </w:rPr>
        <w:t xml:space="preserve">A separate report form should be used for each module where marks have been subject to </w:t>
      </w:r>
      <w:proofErr w:type="spellStart"/>
      <w:r>
        <w:rPr>
          <w:rFonts w:ascii="Verdana" w:eastAsia="Verdana" w:hAnsi="Verdana"/>
          <w:color w:val="000000"/>
          <w:spacing w:val="-11"/>
          <w:sz w:val="18"/>
        </w:rPr>
        <w:t>normalisation</w:t>
      </w:r>
      <w:proofErr w:type="spellEnd"/>
      <w:r>
        <w:rPr>
          <w:rFonts w:ascii="Verdana" w:eastAsia="Verdana" w:hAnsi="Verdana"/>
          <w:color w:val="000000"/>
          <w:spacing w:val="-11"/>
          <w:sz w:val="18"/>
        </w:rPr>
        <w:t>. A single report form should be used if there is a null return. In cases of null return only the Administering School/Dept and Campus and signature sections of the form need to be completed.</w:t>
      </w:r>
    </w:p>
    <w:p w14:paraId="42B850C5" w14:textId="77777777" w:rsidR="000469E8" w:rsidRPr="000469E8" w:rsidRDefault="000469E8">
      <w:pPr>
        <w:pStyle w:val="FootnoteTex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2A"/>
    <w:rsid w:val="000469E8"/>
    <w:rsid w:val="001B45F7"/>
    <w:rsid w:val="001D2E28"/>
    <w:rsid w:val="00213F58"/>
    <w:rsid w:val="00257978"/>
    <w:rsid w:val="00446B42"/>
    <w:rsid w:val="00775B4A"/>
    <w:rsid w:val="008C5E2A"/>
    <w:rsid w:val="00B44817"/>
    <w:rsid w:val="00D11D91"/>
    <w:rsid w:val="00F12DBB"/>
    <w:rsid w:val="00F2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3E6F"/>
  <w15:docId w15:val="{E3A3E166-DF96-4A2A-AA42-AAD1C438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469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9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9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2E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_assessments@nottingham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36ACBE254004291606708AB222035" ma:contentTypeVersion="13" ma:contentTypeDescription="Create a new document." ma:contentTypeScope="" ma:versionID="db564e3245a34376eac13289220d7b00">
  <xsd:schema xmlns:xsd="http://www.w3.org/2001/XMLSchema" xmlns:xs="http://www.w3.org/2001/XMLSchema" xmlns:p="http://schemas.microsoft.com/office/2006/metadata/properties" xmlns:ns3="e8a0c632-07d8-4660-9b21-356dffc21893" xmlns:ns4="ea7ee106-763c-4f09-b2b2-22ef04ba5fdf" targetNamespace="http://schemas.microsoft.com/office/2006/metadata/properties" ma:root="true" ma:fieldsID="2c3f6e57d0b979c7e7a7bcc30a18bd3a" ns3:_="" ns4:_="">
    <xsd:import namespace="e8a0c632-07d8-4660-9b21-356dffc21893"/>
    <xsd:import namespace="ea7ee106-763c-4f09-b2b2-22ef04ba5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c632-07d8-4660-9b21-356dffc21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e106-763c-4f09-b2b2-22ef04ba5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405F1-9E2E-47F2-87D4-09A9F0C89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c632-07d8-4660-9b21-356dffc21893"/>
    <ds:schemaRef ds:uri="ea7ee106-763c-4f09-b2b2-22ef04ba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AE4FD-346F-4A48-B176-F29D4EEF9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D3D97E-023D-457F-85FE-A3ED261D7D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a7ee106-763c-4f09-b2b2-22ef04ba5fdf"/>
    <ds:schemaRef ds:uri="http://schemas.microsoft.com/office/infopath/2007/PartnerControls"/>
    <ds:schemaRef ds:uri="http://purl.org/dc/elements/1.1/"/>
    <ds:schemaRef ds:uri="http://schemas.microsoft.com/office/2006/metadata/properties"/>
    <ds:schemaRef ds:uri="e8a0c632-07d8-4660-9b21-356dffc2189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D567E3-3180-4477-BD4F-F94BBB9A5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Salway</dc:creator>
  <cp:lastModifiedBy>Hayley Robinson (staff)</cp:lastModifiedBy>
  <cp:revision>2</cp:revision>
  <dcterms:created xsi:type="dcterms:W3CDTF">2022-01-04T15:51:00Z</dcterms:created>
  <dcterms:modified xsi:type="dcterms:W3CDTF">2022-01-04T15:51:00Z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0x01010024736ACBE254004291606708AB222035</vt:lpwstr>
  </property>
</Properties>
</file>