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E435C" w:rsidP="004E435C" w:rsidRDefault="004E435C" w14:paraId="5B731254" w14:textId="77777777">
      <w:pPr>
        <w:jc w:val="center"/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  <w:r w:rsidRPr="004E435C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 xml:space="preserve">Studentship </w:t>
      </w:r>
      <w:r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Form</w:t>
      </w:r>
    </w:p>
    <w:p w:rsidRPr="00D37CCB" w:rsidR="00D37CCB" w:rsidP="00D37CCB" w:rsidRDefault="00D37CCB" w14:paraId="6892FB7A" w14:textId="77777777">
      <w:pPr>
        <w:rPr>
          <w:rFonts w:asciiTheme="majorHAnsi" w:hAnsiTheme="majorHAnsi" w:cstheme="majorHAnsi"/>
          <w:color w:val="1F4E79" w:themeColor="accent1" w:themeShade="80"/>
          <w:sz w:val="22"/>
        </w:rPr>
      </w:pPr>
      <w:r w:rsidRPr="00D37CCB">
        <w:rPr>
          <w:rFonts w:asciiTheme="majorHAnsi" w:hAnsiTheme="majorHAnsi" w:cstheme="majorHAnsi"/>
          <w:color w:val="1F4E79" w:themeColor="accent1" w:themeShade="80"/>
          <w:sz w:val="22"/>
        </w:rPr>
        <w:t xml:space="preserve">The Precision Imaging Beacon wishes to promote cross-disciplinary interaction between Schools, with an expectation of at least two supervisors.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2171"/>
        <w:gridCol w:w="2171"/>
        <w:gridCol w:w="2171"/>
      </w:tblGrid>
      <w:tr w:rsidR="004E435C" w:rsidTr="3E102BBC" w14:paraId="20235AB9" w14:textId="77777777">
        <w:tc>
          <w:tcPr>
            <w:tcW w:w="2503" w:type="dxa"/>
            <w:tcMar/>
          </w:tcPr>
          <w:p w:rsidRPr="004E435C" w:rsidR="004E435C" w:rsidP="004E435C" w:rsidRDefault="00C70C15" w14:paraId="69C664CA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First </w:t>
            </w:r>
            <w:r w:rsidRPr="004E435C" w:rsid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  <w:tcMar/>
          </w:tcPr>
          <w:p w:rsidRPr="004E435C" w:rsidR="004E435C" w:rsidP="00BB58AF" w:rsidRDefault="005E0633" w14:paraId="7B1581AE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Maddie Groom (50%)</w:t>
            </w:r>
          </w:p>
        </w:tc>
        <w:tc>
          <w:tcPr>
            <w:tcW w:w="2171" w:type="dxa"/>
            <w:tcMar/>
          </w:tcPr>
          <w:p w:rsidRPr="004E435C" w:rsidR="004E435C" w:rsidP="004E435C" w:rsidRDefault="004E435C" w14:paraId="031CEA6C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  <w:tcMar/>
          </w:tcPr>
          <w:p w:rsidRPr="004E435C" w:rsidR="004E435C" w:rsidP="004E435C" w:rsidRDefault="005E0633" w14:paraId="0759EE9B" w14:textId="439FF5E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School of Medicine, </w:t>
            </w:r>
            <w:r w:rsidR="00060A85">
              <w:rPr>
                <w:rFonts w:asciiTheme="minorHAnsi" w:hAnsiTheme="minorHAnsi" w:cstheme="minorHAnsi"/>
                <w:sz w:val="22"/>
              </w:rPr>
              <w:t xml:space="preserve">Division of </w:t>
            </w:r>
            <w:r>
              <w:rPr>
                <w:rFonts w:asciiTheme="minorHAnsi" w:hAnsiTheme="minorHAnsi" w:cstheme="minorHAnsi"/>
                <w:sz w:val="22"/>
              </w:rPr>
              <w:t>Psychiatry &amp; Applied Psychology, IMH</w:t>
            </w:r>
          </w:p>
        </w:tc>
      </w:tr>
      <w:tr w:rsidR="004E435C" w:rsidTr="3E102BBC" w14:paraId="212B579A" w14:textId="77777777">
        <w:tc>
          <w:tcPr>
            <w:tcW w:w="2503" w:type="dxa"/>
            <w:tcMar/>
          </w:tcPr>
          <w:p w:rsidRPr="004E435C" w:rsidR="004E435C" w:rsidP="004E435C" w:rsidRDefault="00C70C15" w14:paraId="075C2E56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Co </w:t>
            </w:r>
            <w:r w:rsidRPr="004E435C" w:rsid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  <w:tcMar/>
          </w:tcPr>
          <w:p w:rsidRPr="004E435C" w:rsidR="004E435C" w:rsidP="004E435C" w:rsidRDefault="005E0633" w14:paraId="766A5A3D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Lucy Cragg (25%)</w:t>
            </w:r>
          </w:p>
        </w:tc>
        <w:tc>
          <w:tcPr>
            <w:tcW w:w="2171" w:type="dxa"/>
            <w:tcMar/>
          </w:tcPr>
          <w:p w:rsidRPr="004E435C" w:rsidR="004E435C" w:rsidP="004E435C" w:rsidRDefault="004E435C" w14:paraId="6914D92C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  <w:tcMar/>
          </w:tcPr>
          <w:p w:rsidRPr="004E435C" w:rsidR="004E435C" w:rsidP="004E435C" w:rsidRDefault="005E0633" w14:paraId="5FDC4AB8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School of Psychology</w:t>
            </w:r>
          </w:p>
        </w:tc>
      </w:tr>
      <w:tr w:rsidR="00D37CCB" w:rsidTr="3E102BBC" w14:paraId="71B76AE1" w14:textId="77777777">
        <w:tc>
          <w:tcPr>
            <w:tcW w:w="2503" w:type="dxa"/>
            <w:tcMar/>
          </w:tcPr>
          <w:p w:rsidR="00D37CCB" w:rsidP="004E435C" w:rsidRDefault="00D37CCB" w14:paraId="16CC71DC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Co Supervisors name</w:t>
            </w:r>
          </w:p>
        </w:tc>
        <w:tc>
          <w:tcPr>
            <w:tcW w:w="2171" w:type="dxa"/>
            <w:tcMar/>
          </w:tcPr>
          <w:p w:rsidRPr="004E435C" w:rsidR="00D37CCB" w:rsidP="004E435C" w:rsidRDefault="005E0633" w14:paraId="3C38C044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Claudia Danielmeier (25%)</w:t>
            </w:r>
          </w:p>
        </w:tc>
        <w:tc>
          <w:tcPr>
            <w:tcW w:w="2171" w:type="dxa"/>
            <w:tcMar/>
          </w:tcPr>
          <w:p w:rsidRPr="004E435C" w:rsidR="00D37CCB" w:rsidP="004E435C" w:rsidRDefault="00D37CCB" w14:paraId="6834C525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  <w:tcMar/>
          </w:tcPr>
          <w:p w:rsidRPr="004E435C" w:rsidR="00D37CCB" w:rsidP="004E435C" w:rsidRDefault="005E0633" w14:paraId="4B7C117B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School of Psychology</w:t>
            </w:r>
          </w:p>
        </w:tc>
      </w:tr>
      <w:tr w:rsidR="3E102BBC" w:rsidTr="3E102BBC" w14:paraId="55E51AE9">
        <w:tc>
          <w:tcPr>
            <w:tcW w:w="2503" w:type="dxa"/>
            <w:tcMar/>
          </w:tcPr>
          <w:p w:rsidR="3E102BBC" w:rsidP="3E102BBC" w:rsidRDefault="3E102BBC" w14:noSpellErr="1" w14:paraId="1DC26170" w14:textId="2CBBFF4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color w:val="1F4E79"/>
                <w:sz w:val="22"/>
                <w:szCs w:val="22"/>
              </w:rPr>
            </w:pPr>
            <w:r w:rsidRPr="3E102BBC" w:rsidR="3E102BBC">
              <w:rPr>
                <w:rFonts w:ascii="Calibri" w:hAnsi="Calibri" w:cs="Calibri" w:asciiTheme="minorAscii" w:hAnsiTheme="minorAscii" w:cstheme="minorAscii"/>
                <w:color w:val="1F4E79"/>
                <w:sz w:val="22"/>
                <w:szCs w:val="22"/>
              </w:rPr>
              <w:t>Co Supervisors name</w:t>
            </w:r>
          </w:p>
        </w:tc>
        <w:tc>
          <w:tcPr>
            <w:tcW w:w="2171" w:type="dxa"/>
            <w:tcMar/>
          </w:tcPr>
          <w:p w:rsidR="3E102BBC" w:rsidP="3E102BBC" w:rsidRDefault="3E102BBC" w14:paraId="519D7E51" w14:textId="6665EEBA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102BBC" w:rsidR="3E102B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Nic </w:t>
            </w:r>
            <w:proofErr w:type="spellStart"/>
            <w:r w:rsidRPr="3E102BBC" w:rsidR="3E102B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Blockley</w:t>
            </w:r>
            <w:proofErr w:type="spellEnd"/>
            <w:r w:rsidRPr="3E102BBC" w:rsidR="3E102B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Mar/>
          </w:tcPr>
          <w:p w:rsidR="3E102BBC" w:rsidP="3E102BBC" w:rsidRDefault="3E102BBC" w14:noSpellErr="1" w14:paraId="23BC4C0C" w14:textId="45393FA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color w:val="1F4E79"/>
                <w:sz w:val="22"/>
                <w:szCs w:val="22"/>
              </w:rPr>
            </w:pPr>
            <w:r w:rsidRPr="3E102BBC" w:rsidR="3E102BBC">
              <w:rPr>
                <w:rFonts w:ascii="Calibri" w:hAnsi="Calibri" w:cs="Calibri" w:asciiTheme="minorAscii" w:hAnsiTheme="minorAscii" w:cstheme="minorAscii"/>
                <w:color w:val="1F4E79"/>
                <w:sz w:val="22"/>
                <w:szCs w:val="22"/>
              </w:rPr>
              <w:t>School Addresses</w:t>
            </w:r>
          </w:p>
        </w:tc>
        <w:tc>
          <w:tcPr>
            <w:tcW w:w="2171" w:type="dxa"/>
            <w:tcMar/>
          </w:tcPr>
          <w:p w:rsidR="3E102BBC" w:rsidRDefault="3E102BBC" w14:paraId="6BA33262" w14:textId="5BE85066">
            <w:r w:rsidRPr="3E102BBC" w:rsidR="3E102BB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School of Life Sciences</w:t>
            </w:r>
          </w:p>
          <w:p w:rsidR="3E102BBC" w:rsidP="3E102BBC" w:rsidRDefault="3E102BBC" w14:paraId="633882EC" w14:textId="22547DB6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00237252" w:rsidTr="3E102BBC" w14:paraId="1CDD0D59" w14:textId="77777777">
        <w:tc>
          <w:tcPr>
            <w:tcW w:w="2503" w:type="dxa"/>
            <w:tcMar/>
          </w:tcPr>
          <w:p w:rsidRPr="004E435C" w:rsidR="00237252" w:rsidP="004E435C" w:rsidRDefault="00237252" w14:paraId="248C39B8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Start date </w:t>
            </w:r>
          </w:p>
        </w:tc>
        <w:tc>
          <w:tcPr>
            <w:tcW w:w="2171" w:type="dxa"/>
            <w:tcMar/>
          </w:tcPr>
          <w:p w:rsidRPr="004E435C" w:rsidR="00237252" w:rsidP="004E435C" w:rsidRDefault="00D37CCB" w14:paraId="328F049D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Sept 2019</w:t>
            </w:r>
          </w:p>
        </w:tc>
        <w:tc>
          <w:tcPr>
            <w:tcW w:w="2171" w:type="dxa"/>
            <w:tcMar/>
          </w:tcPr>
          <w:p w:rsidRPr="004E435C" w:rsidR="00237252" w:rsidP="004E435C" w:rsidRDefault="00237252" w14:paraId="33B0BA6D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Duration  </w:t>
            </w:r>
          </w:p>
        </w:tc>
        <w:tc>
          <w:tcPr>
            <w:tcW w:w="2171" w:type="dxa"/>
            <w:tcMar/>
          </w:tcPr>
          <w:p w:rsidRPr="004E435C" w:rsidR="00237252" w:rsidP="004E435C" w:rsidRDefault="00237252" w14:paraId="1DECB4B4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D37CCB">
              <w:rPr>
                <w:rFonts w:asciiTheme="minorHAnsi" w:hAnsiTheme="minorHAnsi" w:cstheme="minorHAnsi"/>
                <w:sz w:val="22"/>
              </w:rPr>
              <w:t>.5</w:t>
            </w:r>
            <w:r>
              <w:rPr>
                <w:rFonts w:asciiTheme="minorHAnsi" w:hAnsiTheme="minorHAnsi" w:cstheme="minorHAnsi"/>
                <w:sz w:val="22"/>
              </w:rPr>
              <w:t xml:space="preserve"> years</w:t>
            </w:r>
          </w:p>
        </w:tc>
      </w:tr>
      <w:tr w:rsidR="00237252" w:rsidTr="3E102BBC" w14:paraId="4FA34668" w14:textId="77777777">
        <w:tc>
          <w:tcPr>
            <w:tcW w:w="2503" w:type="dxa"/>
            <w:tcMar/>
          </w:tcPr>
          <w:p w:rsidRPr="004E435C" w:rsidR="00237252" w:rsidP="004E435C" w:rsidRDefault="00237252" w14:paraId="6755CC66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Student </w:t>
            </w:r>
          </w:p>
        </w:tc>
        <w:tc>
          <w:tcPr>
            <w:tcW w:w="6513" w:type="dxa"/>
            <w:gridSpan w:val="3"/>
            <w:tcMar/>
          </w:tcPr>
          <w:p w:rsidRPr="004E435C" w:rsidR="00237252" w:rsidP="004E435C" w:rsidRDefault="00237252" w14:paraId="618F4051" w14:textId="7777777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TBC</w:t>
            </w:r>
            <w:r w:rsidR="00D37CCB">
              <w:rPr>
                <w:rFonts w:asciiTheme="minorHAnsi" w:hAnsiTheme="minorHAnsi" w:cstheme="minorHAnsi"/>
                <w:bCs/>
                <w:sz w:val="22"/>
              </w:rPr>
              <w:t xml:space="preserve"> following selection process</w:t>
            </w:r>
          </w:p>
        </w:tc>
      </w:tr>
      <w:tr w:rsidR="004E435C" w:rsidTr="3E102BBC" w14:paraId="2DA4C6AB" w14:textId="77777777">
        <w:tc>
          <w:tcPr>
            <w:tcW w:w="2503" w:type="dxa"/>
            <w:tcMar/>
          </w:tcPr>
          <w:p w:rsidRPr="004E435C" w:rsidR="004E435C" w:rsidP="004E435C" w:rsidRDefault="004E435C" w14:paraId="45D0DB99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Title</w:t>
            </w:r>
          </w:p>
        </w:tc>
        <w:tc>
          <w:tcPr>
            <w:tcW w:w="6513" w:type="dxa"/>
            <w:gridSpan w:val="3"/>
            <w:tcMar/>
          </w:tcPr>
          <w:p w:rsidRPr="004E435C" w:rsidR="004E435C" w:rsidP="00CB4E4D" w:rsidRDefault="005E0633" w14:paraId="788551EC" w14:textId="615A88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Establishing autonomic and </w:t>
            </w:r>
            <w:r w:rsidR="00CF1898">
              <w:rPr>
                <w:rFonts w:asciiTheme="minorHAnsi" w:hAnsiTheme="minorHAnsi" w:cstheme="minorHAnsi"/>
                <w:sz w:val="22"/>
              </w:rPr>
              <w:t>electrophysiological</w:t>
            </w:r>
            <w:r>
              <w:rPr>
                <w:rFonts w:asciiTheme="minorHAnsi" w:hAnsiTheme="minorHAnsi" w:cstheme="minorHAnsi"/>
                <w:sz w:val="22"/>
              </w:rPr>
              <w:t xml:space="preserve"> markers of arousal regulation and attention in children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 with ADHD</w:t>
            </w:r>
          </w:p>
        </w:tc>
      </w:tr>
      <w:tr w:rsidR="004E435C" w:rsidTr="3E102BBC" w14:paraId="2BCDA87E" w14:textId="77777777">
        <w:tc>
          <w:tcPr>
            <w:tcW w:w="2503" w:type="dxa"/>
            <w:tcMar/>
          </w:tcPr>
          <w:p w:rsidRPr="004E435C" w:rsidR="004E435C" w:rsidP="004E435C" w:rsidRDefault="004E435C" w14:paraId="25665262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Abstract</w:t>
            </w:r>
          </w:p>
        </w:tc>
        <w:tc>
          <w:tcPr>
            <w:tcW w:w="6513" w:type="dxa"/>
            <w:gridSpan w:val="3"/>
            <w:tcMar/>
          </w:tcPr>
          <w:p w:rsidR="009566FF" w:rsidP="004E435C" w:rsidRDefault="009566FF" w14:paraId="02C4E177" w14:textId="0322FC5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ADHD is a prevalent, lifelong and 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disabling condition </w:t>
            </w:r>
            <w:r w:rsidR="00220E49">
              <w:rPr>
                <w:rFonts w:asciiTheme="minorHAnsi" w:hAnsiTheme="minorHAnsi" w:cstheme="minorHAnsi"/>
                <w:sz w:val="22"/>
              </w:rPr>
              <w:t>that is</w:t>
            </w:r>
            <w:r>
              <w:rPr>
                <w:rFonts w:asciiTheme="minorHAnsi" w:hAnsiTheme="minorHAnsi" w:cstheme="minorHAnsi"/>
                <w:sz w:val="22"/>
              </w:rPr>
              <w:t xml:space="preserve"> primarily</w:t>
            </w:r>
            <w:r w:rsidR="00220E49">
              <w:rPr>
                <w:rFonts w:asciiTheme="minorHAnsi" w:hAnsiTheme="minorHAnsi" w:cstheme="minorHAnsi"/>
                <w:sz w:val="22"/>
              </w:rPr>
              <w:t xml:space="preserve"> treated with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medication. Medications for ADHD have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 limited efficacy/tolerability in many children</w:t>
            </w:r>
            <w:r>
              <w:rPr>
                <w:rFonts w:asciiTheme="minorHAnsi" w:hAnsiTheme="minorHAnsi" w:cstheme="minorHAnsi"/>
                <w:sz w:val="22"/>
              </w:rPr>
              <w:t xml:space="preserve"> and are</w:t>
            </w:r>
            <w:r w:rsidR="00336549">
              <w:rPr>
                <w:rFonts w:asciiTheme="minorHAnsi" w:hAnsiTheme="minorHAnsi" w:cstheme="minorHAnsi"/>
                <w:sz w:val="22"/>
              </w:rPr>
              <w:t xml:space="preserve"> selected via trial-and-error</w:t>
            </w:r>
            <w:r w:rsidR="00CC609C">
              <w:rPr>
                <w:rFonts w:asciiTheme="minorHAnsi" w:hAnsiTheme="minorHAnsi" w:cstheme="minorHAnsi"/>
                <w:sz w:val="22"/>
              </w:rPr>
              <w:t>;</w:t>
            </w:r>
            <w:r w:rsidR="00336549">
              <w:rPr>
                <w:rFonts w:asciiTheme="minorHAnsi" w:hAnsiTheme="minorHAnsi" w:cstheme="minorHAnsi"/>
                <w:sz w:val="22"/>
              </w:rPr>
              <w:t xml:space="preserve"> it can take several months to find the right medication for an individual child. 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This situation would improve significantly </w:t>
            </w:r>
            <w:r w:rsidR="003355A9">
              <w:rPr>
                <w:rFonts w:asciiTheme="minorHAnsi" w:hAnsiTheme="minorHAnsi" w:cstheme="minorHAnsi"/>
                <w:sz w:val="22"/>
              </w:rPr>
              <w:t>with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 accurate, reliable </w:t>
            </w:r>
            <w:r w:rsidR="00A845AD">
              <w:rPr>
                <w:rFonts w:asciiTheme="minorHAnsi" w:hAnsiTheme="minorHAnsi" w:cstheme="minorHAnsi"/>
                <w:sz w:val="22"/>
              </w:rPr>
              <w:t xml:space="preserve">prognostic 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markers of medication response.  </w:t>
            </w:r>
          </w:p>
          <w:p w:rsidR="009566FF" w:rsidP="004E435C" w:rsidRDefault="009566FF" w14:paraId="633DC122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4E4B79" w:rsidP="004E435C" w:rsidRDefault="00656D5E" w14:paraId="61733F48" w14:textId="7CD139C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most effective medications</w:t>
            </w:r>
            <w:r w:rsidR="00220E49">
              <w:rPr>
                <w:rFonts w:asciiTheme="minorHAnsi" w:hAnsiTheme="minorHAnsi" w:cstheme="minorHAnsi"/>
                <w:sz w:val="22"/>
              </w:rPr>
              <w:t xml:space="preserve"> for ADHD</w:t>
            </w:r>
            <w:r>
              <w:rPr>
                <w:rFonts w:asciiTheme="minorHAnsi" w:hAnsiTheme="minorHAnsi" w:cstheme="minorHAnsi"/>
                <w:sz w:val="22"/>
              </w:rPr>
              <w:t xml:space="preserve"> target brain systems involved in arousal regulation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and cognition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There is 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also </w:t>
            </w:r>
            <w:r w:rsidR="004E4B79">
              <w:rPr>
                <w:rFonts w:asciiTheme="minorHAnsi" w:hAnsiTheme="minorHAnsi" w:cstheme="minorHAnsi"/>
                <w:sz w:val="22"/>
              </w:rPr>
              <w:t>increasing evidence to suggest that arousal dysregulation is a core feature of ADHD</w:t>
            </w:r>
            <w:r w:rsidR="009566F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566FF" w:rsidR="009566FF">
              <w:rPr>
                <w:rFonts w:ascii="Calibri" w:hAnsi="Calibri"/>
                <w:sz w:val="22"/>
              </w:rPr>
              <w:t>(1</w:t>
            </w:r>
            <w:proofErr w:type="gramStart"/>
            <w:r w:rsidRPr="009566FF" w:rsidR="009566FF">
              <w:rPr>
                <w:rFonts w:ascii="Calibri" w:hAnsi="Calibri"/>
                <w:sz w:val="22"/>
              </w:rPr>
              <w:t>,2</w:t>
            </w:r>
            <w:proofErr w:type="gramEnd"/>
            <w:r w:rsidRPr="009566FF" w:rsidR="009566FF">
              <w:rPr>
                <w:rFonts w:ascii="Calibri" w:hAnsi="Calibri"/>
                <w:sz w:val="22"/>
              </w:rPr>
              <w:t>)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and that there are distinct subgroups with specific </w:t>
            </w:r>
            <w:r w:rsidR="00467C1F">
              <w:rPr>
                <w:rFonts w:asciiTheme="minorHAnsi" w:hAnsiTheme="minorHAnsi" w:cstheme="minorHAnsi"/>
                <w:sz w:val="22"/>
              </w:rPr>
              <w:t>electrophysiological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profiles that respond to different types of medication</w:t>
            </w:r>
            <w:r w:rsidR="009566F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D239E" w:rsidR="00BD239E">
              <w:rPr>
                <w:rFonts w:ascii="Calibri" w:hAnsi="Calibri"/>
                <w:sz w:val="22"/>
              </w:rPr>
              <w:t>(3)</w:t>
            </w:r>
            <w:r w:rsidR="004C18CA">
              <w:rPr>
                <w:rFonts w:asciiTheme="minorHAnsi" w:hAnsiTheme="minorHAnsi" w:cstheme="minorHAnsi"/>
                <w:sz w:val="22"/>
              </w:rPr>
              <w:t>. A</w:t>
            </w:r>
            <w:r w:rsidR="004E4B79">
              <w:rPr>
                <w:rFonts w:asciiTheme="minorHAnsi" w:hAnsiTheme="minorHAnsi" w:cstheme="minorHAnsi"/>
                <w:sz w:val="22"/>
              </w:rPr>
              <w:t>s yet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however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9566FF">
              <w:rPr>
                <w:rFonts w:asciiTheme="minorHAnsi" w:hAnsiTheme="minorHAnsi" w:cstheme="minorHAnsi"/>
                <w:sz w:val="22"/>
              </w:rPr>
              <w:t>relationships between arousal regulation and cognition in ADHD have not been clearly defined</w:t>
            </w:r>
            <w:r w:rsidR="00BD239E">
              <w:rPr>
                <w:rFonts w:asciiTheme="minorHAnsi" w:hAnsiTheme="minorHAnsi" w:cstheme="minorHAnsi"/>
                <w:sz w:val="22"/>
              </w:rPr>
              <w:t xml:space="preserve">. Most studies in this area have inferred impaired arousal from indirect measures such as </w:t>
            </w:r>
            <w:r w:rsidR="00CC609C">
              <w:rPr>
                <w:rFonts w:asciiTheme="minorHAnsi" w:hAnsiTheme="minorHAnsi" w:cstheme="minorHAnsi"/>
                <w:sz w:val="22"/>
              </w:rPr>
              <w:t xml:space="preserve">poor </w:t>
            </w:r>
            <w:r w:rsidR="00BD239E">
              <w:rPr>
                <w:rFonts w:asciiTheme="minorHAnsi" w:hAnsiTheme="minorHAnsi" w:cstheme="minorHAnsi"/>
                <w:sz w:val="22"/>
              </w:rPr>
              <w:t xml:space="preserve">cognitive performance under conditions </w:t>
            </w:r>
            <w:r w:rsidR="00CC609C">
              <w:rPr>
                <w:rFonts w:asciiTheme="minorHAnsi" w:hAnsiTheme="minorHAnsi" w:cstheme="minorHAnsi"/>
                <w:sz w:val="22"/>
              </w:rPr>
              <w:t>that are designed to tax arousal</w:t>
            </w:r>
            <w:r w:rsidR="00BD239E">
              <w:rPr>
                <w:rFonts w:asciiTheme="minorHAnsi" w:hAnsiTheme="minorHAnsi" w:cstheme="minorHAnsi"/>
                <w:sz w:val="22"/>
              </w:rPr>
              <w:t>. V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ery few studies have measured </w:t>
            </w:r>
            <w:r w:rsidR="004C18CA">
              <w:rPr>
                <w:rFonts w:asciiTheme="minorHAnsi" w:hAnsiTheme="minorHAnsi" w:cstheme="minorHAnsi"/>
                <w:sz w:val="22"/>
              </w:rPr>
              <w:t>autonomic markers of arousal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 in ADHD</w:t>
            </w:r>
            <w:r w:rsidR="001A71D3">
              <w:rPr>
                <w:rFonts w:asciiTheme="minorHAnsi" w:hAnsiTheme="minorHAnsi" w:cstheme="minorHAnsi"/>
                <w:sz w:val="22"/>
              </w:rPr>
              <w:t xml:space="preserve"> or related </w:t>
            </w:r>
            <w:r w:rsidR="004C18CA">
              <w:rPr>
                <w:rFonts w:asciiTheme="minorHAnsi" w:hAnsiTheme="minorHAnsi" w:cstheme="minorHAnsi"/>
                <w:sz w:val="22"/>
              </w:rPr>
              <w:t>these</w:t>
            </w:r>
            <w:r w:rsidR="001A71D3">
              <w:rPr>
                <w:rFonts w:asciiTheme="minorHAnsi" w:hAnsiTheme="minorHAnsi" w:cstheme="minorHAnsi"/>
                <w:sz w:val="22"/>
              </w:rPr>
              <w:t xml:space="preserve"> to 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EEG measures and cognitive function. </w:t>
            </w:r>
          </w:p>
          <w:p w:rsidR="004E4B79" w:rsidP="004E435C" w:rsidRDefault="004E4B79" w14:paraId="1D4FAA84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656D5E" w:rsidP="004E435C" w:rsidRDefault="00A845AD" w14:paraId="144D3903" w14:textId="33AF0E7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proposed </w:t>
            </w:r>
            <w:r w:rsidR="00EC277C">
              <w:rPr>
                <w:rFonts w:asciiTheme="minorHAnsi" w:hAnsiTheme="minorHAnsi" w:cstheme="minorHAnsi"/>
                <w:sz w:val="22"/>
              </w:rPr>
              <w:t xml:space="preserve">studentship will 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form one part of a broader programme of work </w:t>
            </w:r>
            <w:r w:rsidR="003A2A6D">
              <w:rPr>
                <w:rFonts w:asciiTheme="minorHAnsi" w:hAnsiTheme="minorHAnsi" w:cstheme="minorHAnsi"/>
                <w:sz w:val="22"/>
              </w:rPr>
              <w:t>to investigate</w:t>
            </w:r>
            <w:r w:rsidR="00EC277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arousal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regulation</w:t>
            </w:r>
            <w:r w:rsidR="001E5EDC">
              <w:rPr>
                <w:rFonts w:asciiTheme="minorHAnsi" w:hAnsiTheme="minorHAnsi" w:cstheme="minorHAnsi"/>
                <w:sz w:val="22"/>
              </w:rPr>
              <w:t>,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cognition </w:t>
            </w:r>
            <w:r w:rsidR="001E5EDC">
              <w:rPr>
                <w:rFonts w:asciiTheme="minorHAnsi" w:hAnsiTheme="minorHAnsi" w:cstheme="minorHAnsi"/>
                <w:sz w:val="22"/>
              </w:rPr>
              <w:t xml:space="preserve">and medication response </w:t>
            </w:r>
            <w:r w:rsidR="004C18CA">
              <w:rPr>
                <w:rFonts w:asciiTheme="minorHAnsi" w:hAnsiTheme="minorHAnsi" w:cstheme="minorHAnsi"/>
                <w:sz w:val="22"/>
              </w:rPr>
              <w:t>in ADHD</w:t>
            </w:r>
            <w:r w:rsidR="00BD239E">
              <w:rPr>
                <w:rFonts w:asciiTheme="minorHAnsi" w:hAnsiTheme="minorHAnsi" w:cstheme="minorHAnsi"/>
                <w:sz w:val="22"/>
              </w:rPr>
              <w:t>, led by the primary supervisor</w:t>
            </w:r>
            <w:r w:rsidR="004C18CA">
              <w:rPr>
                <w:rFonts w:asciiTheme="minorHAnsi" w:hAnsiTheme="minorHAnsi" w:cstheme="minorHAnsi"/>
                <w:sz w:val="22"/>
              </w:rPr>
              <w:t>. The student will conduct experimental work to compare</w:t>
            </w:r>
            <w:r>
              <w:rPr>
                <w:rFonts w:asciiTheme="minorHAnsi" w:hAnsiTheme="minorHAnsi" w:cstheme="minorHAnsi"/>
                <w:sz w:val="22"/>
              </w:rPr>
              <w:t xml:space="preserve"> children with and without ADHD</w:t>
            </w:r>
            <w:r w:rsidR="00EC277C">
              <w:rPr>
                <w:rFonts w:asciiTheme="minorHAnsi" w:hAnsiTheme="minorHAnsi" w:cstheme="minorHAnsi"/>
                <w:sz w:val="22"/>
              </w:rPr>
              <w:t xml:space="preserve"> using cognitive tests, EEG and </w:t>
            </w:r>
            <w:r w:rsidR="00CF1898">
              <w:rPr>
                <w:rFonts w:asciiTheme="minorHAnsi" w:hAnsiTheme="minorHAnsi" w:cstheme="minorHAnsi"/>
                <w:sz w:val="22"/>
              </w:rPr>
              <w:t>autonomic measures</w:t>
            </w:r>
            <w:r w:rsidR="00EC277C">
              <w:rPr>
                <w:rFonts w:asciiTheme="minorHAnsi" w:hAnsiTheme="minorHAnsi" w:cstheme="minorHAnsi"/>
                <w:sz w:val="22"/>
              </w:rPr>
              <w:t xml:space="preserve"> (pupil size, heart rate, skin conductance)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656D5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E5EDC">
              <w:rPr>
                <w:rFonts w:asciiTheme="minorHAnsi" w:hAnsiTheme="minorHAnsi" w:cstheme="minorHAnsi"/>
                <w:sz w:val="22"/>
              </w:rPr>
              <w:t>To guide the selection of arousal-linked EEG measures</w:t>
            </w:r>
            <w:r w:rsidR="00BD239E">
              <w:rPr>
                <w:rFonts w:asciiTheme="minorHAnsi" w:hAnsiTheme="minorHAnsi" w:cstheme="minorHAnsi"/>
                <w:sz w:val="22"/>
              </w:rPr>
              <w:t xml:space="preserve"> in this study</w:t>
            </w:r>
            <w:r w:rsidR="001E5EDC">
              <w:rPr>
                <w:rFonts w:asciiTheme="minorHAnsi" w:hAnsiTheme="minorHAnsi" w:cstheme="minorHAnsi"/>
                <w:sz w:val="22"/>
              </w:rPr>
              <w:t>, t</w:t>
            </w:r>
            <w:r w:rsidR="003A2A6D">
              <w:rPr>
                <w:rFonts w:asciiTheme="minorHAnsi" w:hAnsiTheme="minorHAnsi" w:cstheme="minorHAnsi"/>
                <w:sz w:val="22"/>
              </w:rPr>
              <w:t xml:space="preserve">he student will </w:t>
            </w:r>
            <w:r w:rsidR="00336549">
              <w:rPr>
                <w:rFonts w:asciiTheme="minorHAnsi" w:hAnsiTheme="minorHAnsi" w:cstheme="minorHAnsi"/>
                <w:sz w:val="22"/>
              </w:rPr>
              <w:t xml:space="preserve">utilise </w:t>
            </w:r>
            <w:r w:rsidR="003A2A6D">
              <w:rPr>
                <w:rFonts w:asciiTheme="minorHAnsi" w:hAnsiTheme="minorHAnsi" w:cstheme="minorHAnsi"/>
                <w:sz w:val="22"/>
              </w:rPr>
              <w:t>combined fMRI-EEG</w:t>
            </w:r>
            <w:r w:rsidR="00336549">
              <w:rPr>
                <w:rFonts w:asciiTheme="minorHAnsi" w:hAnsiTheme="minorHAnsi" w:cstheme="minorHAnsi"/>
                <w:sz w:val="22"/>
              </w:rPr>
              <w:t xml:space="preserve"> data collected</w:t>
            </w:r>
            <w:r w:rsidR="003A2A6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67C1F">
              <w:rPr>
                <w:rFonts w:asciiTheme="minorHAnsi" w:hAnsiTheme="minorHAnsi" w:cstheme="minorHAnsi"/>
                <w:sz w:val="22"/>
              </w:rPr>
              <w:t>in healthy adults</w:t>
            </w:r>
            <w:r w:rsidR="001E5EDC">
              <w:rPr>
                <w:rFonts w:asciiTheme="minorHAnsi" w:hAnsiTheme="minorHAnsi" w:cstheme="minorHAnsi"/>
                <w:sz w:val="22"/>
              </w:rPr>
              <w:t xml:space="preserve"> to identify EEG correlates of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E5EDC">
              <w:rPr>
                <w:rFonts w:asciiTheme="minorHAnsi" w:hAnsiTheme="minorHAnsi" w:cstheme="minorHAnsi"/>
                <w:sz w:val="22"/>
              </w:rPr>
              <w:t>BOLD activity in the brainstem regions implicated in arousal regulation</w:t>
            </w:r>
            <w:r w:rsidR="00AB3A99">
              <w:rPr>
                <w:rFonts w:asciiTheme="minorHAnsi" w:hAnsiTheme="minorHAnsi" w:cstheme="minorHAnsi"/>
                <w:sz w:val="22"/>
              </w:rPr>
              <w:t>.</w:t>
            </w:r>
            <w:r w:rsidR="001E5ED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D239E">
              <w:rPr>
                <w:rFonts w:asciiTheme="minorHAnsi" w:hAnsiTheme="minorHAnsi" w:cstheme="minorHAnsi"/>
                <w:sz w:val="22"/>
              </w:rPr>
              <w:t xml:space="preserve">This image-guided selection of EEG measures will provide a firmer basis for </w:t>
            </w:r>
            <w:r w:rsidR="00BD239E">
              <w:rPr>
                <w:rFonts w:asciiTheme="minorHAnsi" w:hAnsiTheme="minorHAnsi" w:cstheme="minorHAnsi"/>
                <w:sz w:val="22"/>
              </w:rPr>
              <w:lastRenderedPageBreak/>
              <w:t xml:space="preserve">interpreting the findings from the ADHD study whilst also avoiding the need to scan ADHD patients who </w:t>
            </w:r>
            <w:bookmarkStart w:name="_GoBack" w:id="0"/>
            <w:bookmarkEnd w:id="0"/>
            <w:r w:rsidR="00BD239E">
              <w:rPr>
                <w:rFonts w:asciiTheme="minorHAnsi" w:hAnsiTheme="minorHAnsi" w:cstheme="minorHAnsi"/>
                <w:sz w:val="22"/>
              </w:rPr>
              <w:t>will find it hard to remain still in the scanner.</w:t>
            </w:r>
          </w:p>
          <w:p w:rsidR="004E4B79" w:rsidP="004E435C" w:rsidRDefault="004E4B79" w14:paraId="7190DE43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4E4B79" w:rsidP="004E435C" w:rsidRDefault="004E4B79" w14:paraId="5DAB96B1" w14:textId="77777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studentship will address the following research questions:</w:t>
            </w:r>
          </w:p>
          <w:p w:rsidR="00467C1F" w:rsidP="004E4B79" w:rsidRDefault="00467C1F" w14:paraId="62C52D32" w14:textId="144887B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What are the electrophysiological and autonomic correlates of BOLD activity in brainstem regions responsible for arousal regulation (specifically the locus coeruleus)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="00CB4E4D">
              <w:rPr>
                <w:rFonts w:asciiTheme="minorHAnsi" w:hAnsiTheme="minorHAnsi" w:cstheme="minorHAnsi"/>
                <w:sz w:val="22"/>
              </w:rPr>
              <w:t xml:space="preserve">of the </w:t>
            </w:r>
            <w:r w:rsidR="00335932">
              <w:rPr>
                <w:rFonts w:asciiTheme="minorHAnsi" w:hAnsiTheme="minorHAnsi" w:cstheme="minorHAnsi"/>
                <w:sz w:val="22"/>
              </w:rPr>
              <w:t>connectivity between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B4E4D">
              <w:rPr>
                <w:rFonts w:asciiTheme="minorHAnsi" w:hAnsiTheme="minorHAnsi" w:cstheme="minorHAnsi"/>
                <w:sz w:val="22"/>
              </w:rPr>
              <w:t xml:space="preserve">these 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regions </w:t>
            </w:r>
            <w:r w:rsidR="00335932">
              <w:rPr>
                <w:rFonts w:asciiTheme="minorHAnsi" w:hAnsiTheme="minorHAnsi" w:cstheme="minorHAnsi"/>
                <w:sz w:val="22"/>
              </w:rPr>
              <w:t>and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 other cortical and sub-cortical sites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4E4B79" w:rsidP="004E4B79" w:rsidRDefault="004E4B79" w14:paraId="1AC0E2F0" w14:textId="19884B4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What are the differences between children with and without ADHD on </w:t>
            </w:r>
            <w:r w:rsidR="003355A9">
              <w:rPr>
                <w:rFonts w:asciiTheme="minorHAnsi" w:hAnsiTheme="minorHAnsi" w:cstheme="minorHAnsi"/>
                <w:sz w:val="22"/>
              </w:rPr>
              <w:t>EEG and autonomic measures of</w:t>
            </w:r>
            <w:r w:rsidR="004C18C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arousal?</w:t>
            </w:r>
            <w:r w:rsidR="003355A9">
              <w:rPr>
                <w:rFonts w:asciiTheme="minorHAnsi" w:hAnsiTheme="minorHAnsi" w:cstheme="minorHAnsi"/>
                <w:sz w:val="22"/>
              </w:rPr>
              <w:t xml:space="preserve"> How do these differences relate to cognitive function in ADHD?</w:t>
            </w:r>
          </w:p>
          <w:p w:rsidR="004E4B79" w:rsidP="004E4B79" w:rsidRDefault="004E4B79" w14:paraId="74CED478" w14:textId="0EA38FC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How do these measures relate to </w:t>
            </w:r>
            <w:r w:rsidR="00DF6D82">
              <w:rPr>
                <w:rFonts w:asciiTheme="minorHAnsi" w:hAnsiTheme="minorHAnsi" w:cstheme="minorHAnsi"/>
                <w:sz w:val="22"/>
              </w:rPr>
              <w:t xml:space="preserve">clinical measures of symptom severity </w:t>
            </w:r>
            <w:r>
              <w:rPr>
                <w:rFonts w:asciiTheme="minorHAnsi" w:hAnsiTheme="minorHAnsi" w:cstheme="minorHAnsi"/>
                <w:sz w:val="22"/>
              </w:rPr>
              <w:t>in ADHD?</w:t>
            </w:r>
          </w:p>
          <w:p w:rsidR="00AB3A99" w:rsidP="004E4B79" w:rsidRDefault="00AB3A99" w14:paraId="2FACC2A3" w14:textId="006D0DE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Are there differences between children with ADHD depending on which medication they respond to clinically?</w:t>
            </w:r>
          </w:p>
          <w:p w:rsidR="00CF1898" w:rsidP="004E435C" w:rsidRDefault="00CF1898" w14:paraId="2F65E40C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656D5E" w:rsidP="004E435C" w:rsidRDefault="00060A85" w14:paraId="243DBF5B" w14:textId="7F1C7893">
            <w:pPr>
              <w:rPr>
                <w:rFonts w:asciiTheme="minorHAnsi" w:hAnsiTheme="minorHAnsi" w:cstheme="minorHAnsi"/>
                <w:sz w:val="22"/>
              </w:rPr>
            </w:pPr>
            <w:r w:rsidRPr="00EC277C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>he project</w:t>
            </w:r>
            <w:r w:rsidRPr="00EC277C">
              <w:rPr>
                <w:rFonts w:asciiTheme="minorHAnsi" w:hAnsiTheme="minorHAnsi" w:cstheme="minorHAnsi"/>
                <w:sz w:val="22"/>
              </w:rPr>
              <w:t xml:space="preserve"> will provide a platform from which to identify prognostic markers of treatment response in ADHD</w:t>
            </w:r>
            <w:r>
              <w:rPr>
                <w:rFonts w:asciiTheme="minorHAnsi" w:hAnsiTheme="minorHAnsi" w:cstheme="minorHAnsi"/>
                <w:sz w:val="22"/>
              </w:rPr>
              <w:t xml:space="preserve"> in a larger study, facilitating a ‘personalised medicine’ approach to this complex, heterogeneous condition</w:t>
            </w:r>
            <w:r w:rsidRPr="00EC277C">
              <w:rPr>
                <w:rFonts w:asciiTheme="minorHAnsi" w:hAnsiTheme="minorHAnsi" w:cstheme="minorHAnsi"/>
                <w:sz w:val="22"/>
              </w:rPr>
              <w:t>.</w:t>
            </w:r>
            <w:r w:rsidR="00CF1898">
              <w:rPr>
                <w:rFonts w:asciiTheme="minorHAnsi" w:hAnsiTheme="minorHAnsi" w:cstheme="minorHAnsi"/>
                <w:sz w:val="22"/>
              </w:rPr>
              <w:t xml:space="preserve"> This aligns well with the aim of the Beacon to establish image-guided approaches to medicine.</w:t>
            </w:r>
            <w:r w:rsidR="0033654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60A85" w:rsidP="004E435C" w:rsidRDefault="00060A85" w14:paraId="40FC9F79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DE7102" w:rsidP="00DE7102" w:rsidRDefault="00F56816" w14:paraId="6E05039E" w14:textId="35E1F2C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060A85">
              <w:rPr>
                <w:rFonts w:asciiTheme="minorHAnsi" w:hAnsiTheme="minorHAnsi" w:cstheme="minorHAnsi"/>
                <w:sz w:val="22"/>
              </w:rPr>
              <w:t xml:space="preserve">project </w:t>
            </w:r>
            <w:r w:rsidR="00656D5E">
              <w:rPr>
                <w:rFonts w:asciiTheme="minorHAnsi" w:hAnsiTheme="minorHAnsi" w:cstheme="minorHAnsi"/>
                <w:sz w:val="22"/>
              </w:rPr>
              <w:t>brings</w:t>
            </w:r>
            <w:r>
              <w:rPr>
                <w:rFonts w:asciiTheme="minorHAnsi" w:hAnsiTheme="minorHAnsi" w:cstheme="minorHAnsi"/>
                <w:sz w:val="22"/>
              </w:rPr>
              <w:t xml:space="preserve"> together cross-disciplinary expertise in 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ADHD </w:t>
            </w:r>
            <w:r w:rsidR="00060A85"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 w:rsidR="00060A85">
              <w:rPr>
                <w:rFonts w:asciiTheme="minorHAnsi" w:hAnsiTheme="minorHAnsi" w:cstheme="minorHAnsi"/>
                <w:sz w:val="22"/>
              </w:rPr>
              <w:t>Groom</w:t>
            </w:r>
            <w:r w:rsidRPr="00BD239E" w:rsidR="00BD239E">
              <w:rPr>
                <w:rFonts w:ascii="Calibri" w:hAnsi="Calibri"/>
                <w:sz w:val="22"/>
              </w:rPr>
              <w:t>(</w:t>
            </w:r>
            <w:proofErr w:type="gramEnd"/>
            <w:r w:rsidRPr="00BD239E" w:rsidR="00BD239E">
              <w:rPr>
                <w:rFonts w:ascii="Calibri" w:hAnsi="Calibri"/>
                <w:sz w:val="22"/>
              </w:rPr>
              <w:t>4)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060A85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developmental </w:t>
            </w:r>
            <w:r w:rsidR="00060A85">
              <w:rPr>
                <w:rFonts w:asciiTheme="minorHAnsi" w:hAnsiTheme="minorHAnsi" w:cstheme="minorHAnsi"/>
                <w:sz w:val="22"/>
              </w:rPr>
              <w:t xml:space="preserve">cognitive 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psychology </w:t>
            </w:r>
            <w:r w:rsidR="005E4A16">
              <w:rPr>
                <w:rFonts w:asciiTheme="minorHAnsi" w:hAnsiTheme="minorHAnsi" w:cstheme="minorHAnsi"/>
                <w:sz w:val="22"/>
              </w:rPr>
              <w:t>(Cragg</w:t>
            </w:r>
            <w:r w:rsidR="00E736B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61D06" w:rsidR="00561D06">
              <w:rPr>
                <w:rFonts w:ascii="Calibri" w:hAnsi="Calibri"/>
                <w:sz w:val="22"/>
              </w:rPr>
              <w:t>(5)</w:t>
            </w:r>
            <w:r w:rsidR="005E4A16">
              <w:rPr>
                <w:rFonts w:asciiTheme="minorHAnsi" w:hAnsiTheme="minorHAnsi" w:cstheme="minorHAnsi"/>
                <w:sz w:val="22"/>
              </w:rPr>
              <w:t>) and</w:t>
            </w:r>
            <w:r w:rsidR="00F8486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E4A16">
              <w:rPr>
                <w:rFonts w:asciiTheme="minorHAnsi" w:hAnsiTheme="minorHAnsi" w:cstheme="minorHAnsi"/>
                <w:sz w:val="22"/>
              </w:rPr>
              <w:t>in</w:t>
            </w:r>
            <w:r w:rsidR="004E4B7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A85">
              <w:rPr>
                <w:rFonts w:asciiTheme="minorHAnsi" w:hAnsiTheme="minorHAnsi" w:cstheme="minorHAnsi"/>
                <w:sz w:val="22"/>
              </w:rPr>
              <w:t>measuring</w:t>
            </w:r>
            <w:r w:rsidR="005E4A16">
              <w:rPr>
                <w:rFonts w:asciiTheme="minorHAnsi" w:hAnsiTheme="minorHAnsi" w:cstheme="minorHAnsi"/>
                <w:sz w:val="22"/>
              </w:rPr>
              <w:t xml:space="preserve"> arousal regulation</w:t>
            </w:r>
            <w:r w:rsidR="00060A85">
              <w:rPr>
                <w:rFonts w:asciiTheme="minorHAnsi" w:hAnsiTheme="minorHAnsi" w:cstheme="minorHAnsi"/>
                <w:sz w:val="22"/>
              </w:rPr>
              <w:t xml:space="preserve"> using EEG and autonomic measures</w:t>
            </w:r>
            <w:r w:rsidR="005E4A16">
              <w:rPr>
                <w:rFonts w:asciiTheme="minorHAnsi" w:hAnsiTheme="minorHAnsi" w:cstheme="minorHAnsi"/>
                <w:sz w:val="22"/>
              </w:rPr>
              <w:t xml:space="preserve"> (Danielmeier</w:t>
            </w:r>
            <w:r w:rsidR="00E736B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61D06" w:rsidR="00561D06">
              <w:rPr>
                <w:rFonts w:ascii="Calibri" w:hAnsi="Calibri"/>
                <w:sz w:val="22"/>
              </w:rPr>
              <w:t>(6,7)</w:t>
            </w:r>
            <w:r w:rsidR="005E4A1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The student will </w:t>
            </w:r>
            <w:r w:rsidR="00F84861">
              <w:rPr>
                <w:rFonts w:asciiTheme="minorHAnsi" w:hAnsiTheme="minorHAnsi" w:cstheme="minorHAnsi"/>
                <w:bCs/>
                <w:sz w:val="22"/>
              </w:rPr>
              <w:t>benefit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 from training opportunities in both </w:t>
            </w:r>
            <w:r w:rsidR="00F84861">
              <w:rPr>
                <w:rFonts w:asciiTheme="minorHAnsi" w:hAnsiTheme="minorHAnsi" w:cstheme="minorHAnsi"/>
                <w:bCs/>
                <w:sz w:val="22"/>
              </w:rPr>
              <w:t>Schools</w:t>
            </w:r>
            <w:r w:rsidR="00CF1898">
              <w:rPr>
                <w:rFonts w:asciiTheme="minorHAnsi" w:hAnsiTheme="minorHAnsi" w:cstheme="minorHAnsi"/>
                <w:bCs/>
                <w:sz w:val="22"/>
              </w:rPr>
              <w:t xml:space="preserve"> and will receive full training in all relevant </w:t>
            </w:r>
            <w:r w:rsidR="00561D06">
              <w:rPr>
                <w:rFonts w:asciiTheme="minorHAnsi" w:hAnsiTheme="minorHAnsi" w:cstheme="minorHAnsi"/>
                <w:bCs/>
                <w:sz w:val="22"/>
              </w:rPr>
              <w:t xml:space="preserve">neuroimaging </w:t>
            </w:r>
            <w:r w:rsidR="00CF1898">
              <w:rPr>
                <w:rFonts w:asciiTheme="minorHAnsi" w:hAnsiTheme="minorHAnsi" w:cstheme="minorHAnsi"/>
                <w:bCs/>
                <w:sz w:val="22"/>
              </w:rPr>
              <w:t>methods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DE7102">
              <w:rPr>
                <w:rFonts w:asciiTheme="minorHAnsi" w:hAnsiTheme="minorHAnsi" w:cstheme="minorHAnsi"/>
                <w:bCs/>
                <w:sz w:val="22"/>
              </w:rPr>
              <w:t>The primary supervisor has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61D06">
              <w:rPr>
                <w:rFonts w:asciiTheme="minorHAnsi" w:hAnsiTheme="minorHAnsi" w:cstheme="minorHAnsi"/>
                <w:bCs/>
                <w:sz w:val="22"/>
              </w:rPr>
              <w:t>strong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 links with local and national ADHD support groups and 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 xml:space="preserve">NHS 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>clinics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 xml:space="preserve"> and is currently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conducting work with imaging experts</w:t>
            </w:r>
            <w:r w:rsidR="00CB4E4D">
              <w:rPr>
                <w:rFonts w:asciiTheme="minorHAnsi" w:hAnsiTheme="minorHAnsi" w:cstheme="minorHAnsi"/>
                <w:bCs/>
                <w:sz w:val="22"/>
              </w:rPr>
              <w:t xml:space="preserve"> in the Sir Peter Mansfield Imaging Centre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to 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>image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the human arousal system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>;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the proposed project will benefit 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>from and further strengthen these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collaboration</w:t>
            </w:r>
            <w:r w:rsidR="00335932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>. The project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E4A16">
              <w:rPr>
                <w:rFonts w:asciiTheme="minorHAnsi" w:hAnsiTheme="minorHAnsi" w:cstheme="minorHAnsi"/>
                <w:bCs/>
                <w:sz w:val="22"/>
              </w:rPr>
              <w:t>will</w:t>
            </w:r>
            <w:r w:rsidR="00336549">
              <w:rPr>
                <w:rFonts w:asciiTheme="minorHAnsi" w:hAnsiTheme="minorHAnsi" w:cstheme="minorHAnsi"/>
                <w:bCs/>
                <w:sz w:val="22"/>
              </w:rPr>
              <w:t xml:space="preserve"> also</w:t>
            </w:r>
            <w:r w:rsidR="005E4A16">
              <w:rPr>
                <w:rFonts w:asciiTheme="minorHAnsi" w:hAnsiTheme="minorHAnsi" w:cstheme="minorHAnsi"/>
                <w:bCs/>
                <w:sz w:val="22"/>
              </w:rPr>
              <w:t xml:space="preserve"> receive some financial and infrastructure support from 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>the NIHR Biomedical Research Centre mental health theme</w:t>
            </w:r>
            <w:r w:rsidR="005E4A16">
              <w:rPr>
                <w:rFonts w:asciiTheme="minorHAnsi" w:hAnsiTheme="minorHAnsi" w:cstheme="minorHAnsi"/>
                <w:bCs/>
                <w:sz w:val="22"/>
              </w:rPr>
              <w:t xml:space="preserve"> (based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 in the IMH</w:t>
            </w:r>
            <w:r w:rsidR="005E4A16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DE7102" w:rsidR="00DE7102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</w:p>
          <w:p w:rsidR="00561D06" w:rsidP="00DE7102" w:rsidRDefault="00561D06" w14:paraId="3130F9CA" w14:textId="7777777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:rsidRPr="00E736B2" w:rsidR="00E736B2" w:rsidP="00E736B2" w:rsidRDefault="00E736B2" w14:paraId="4D6EEB38" w14:textId="476D8A2F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1. </w:t>
            </w:r>
            <w:r w:rsidRPr="00E736B2">
              <w:rPr>
                <w:rFonts w:ascii="Calibri" w:hAnsi="Calibri"/>
                <w:sz w:val="22"/>
              </w:rPr>
              <w:tab/>
            </w:r>
            <w:r w:rsidRPr="00E736B2">
              <w:rPr>
                <w:rFonts w:ascii="Calibri" w:hAnsi="Calibri"/>
                <w:sz w:val="22"/>
              </w:rPr>
              <w:t xml:space="preserve">Kuntsi J, Klein C. </w:t>
            </w:r>
            <w:proofErr w:type="spellStart"/>
            <w:r w:rsidRPr="00E736B2">
              <w:rPr>
                <w:rFonts w:ascii="Calibri" w:hAnsi="Calibri"/>
                <w:sz w:val="22"/>
              </w:rPr>
              <w:t>Intraindividual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variability in ADHD and its implications for research of causal links. </w:t>
            </w:r>
            <w:proofErr w:type="spellStart"/>
            <w:r w:rsidRPr="00E736B2">
              <w:rPr>
                <w:rFonts w:ascii="Calibri" w:hAnsi="Calibri"/>
                <w:sz w:val="22"/>
              </w:rPr>
              <w:t>Curr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Top </w:t>
            </w:r>
            <w:proofErr w:type="spellStart"/>
            <w:r w:rsidRPr="00E736B2">
              <w:rPr>
                <w:rFonts w:ascii="Calibri" w:hAnsi="Calibri"/>
                <w:sz w:val="22"/>
              </w:rPr>
              <w:t>Behav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736B2">
              <w:rPr>
                <w:rFonts w:ascii="Calibri" w:hAnsi="Calibri"/>
                <w:sz w:val="22"/>
              </w:rPr>
              <w:t>Neurosci</w:t>
            </w:r>
            <w:proofErr w:type="spellEnd"/>
            <w:r w:rsidRPr="00E736B2">
              <w:rPr>
                <w:rFonts w:ascii="Calibri" w:hAnsi="Calibri"/>
                <w:sz w:val="22"/>
              </w:rPr>
              <w:t>. 2012</w:t>
            </w:r>
            <w:proofErr w:type="gramStart"/>
            <w:r w:rsidRPr="00E736B2">
              <w:rPr>
                <w:rFonts w:ascii="Calibri" w:hAnsi="Calibri"/>
                <w:sz w:val="22"/>
              </w:rPr>
              <w:t>;9:67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–91. </w:t>
            </w:r>
          </w:p>
          <w:p w:rsidRPr="00E736B2" w:rsidR="00E736B2" w:rsidP="00E736B2" w:rsidRDefault="00E736B2" w14:paraId="3342A25B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2. </w:t>
            </w:r>
            <w:r w:rsidRPr="00E736B2">
              <w:rPr>
                <w:rFonts w:ascii="Calibri" w:hAnsi="Calibri"/>
                <w:sz w:val="22"/>
              </w:rPr>
              <w:tab/>
            </w:r>
            <w:proofErr w:type="spellStart"/>
            <w:r w:rsidRPr="00E736B2">
              <w:rPr>
                <w:rFonts w:ascii="Calibri" w:hAnsi="Calibri"/>
                <w:sz w:val="22"/>
              </w:rPr>
              <w:t>Buyck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I, Wiersema JR. State-related electroencephalographic deviances in attention deficit hyperactivity disorder. Res Dev </w:t>
            </w:r>
            <w:proofErr w:type="spellStart"/>
            <w:r w:rsidRPr="00E736B2">
              <w:rPr>
                <w:rFonts w:ascii="Calibri" w:hAnsi="Calibri"/>
                <w:sz w:val="22"/>
              </w:rPr>
              <w:t>Disabil</w:t>
            </w:r>
            <w:proofErr w:type="spellEnd"/>
            <w:r w:rsidRPr="00E736B2">
              <w:rPr>
                <w:rFonts w:ascii="Calibri" w:hAnsi="Calibri"/>
                <w:sz w:val="22"/>
              </w:rPr>
              <w:t>. 2014 Dec</w:t>
            </w:r>
            <w:proofErr w:type="gramStart"/>
            <w:r w:rsidRPr="00E736B2">
              <w:rPr>
                <w:rFonts w:ascii="Calibri" w:hAnsi="Calibri"/>
                <w:sz w:val="22"/>
              </w:rPr>
              <w:t>;35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(12):3217–25. </w:t>
            </w:r>
          </w:p>
          <w:p w:rsidRPr="00E736B2" w:rsidR="00E736B2" w:rsidP="00E736B2" w:rsidRDefault="00E736B2" w14:paraId="1E5B3CD3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lastRenderedPageBreak/>
              <w:t xml:space="preserve">3. </w:t>
            </w:r>
            <w:r w:rsidRPr="00E736B2">
              <w:rPr>
                <w:rFonts w:ascii="Calibri" w:hAnsi="Calibri"/>
                <w:sz w:val="22"/>
              </w:rPr>
              <w:tab/>
            </w:r>
            <w:proofErr w:type="spellStart"/>
            <w:r w:rsidRPr="00E736B2">
              <w:rPr>
                <w:rFonts w:ascii="Calibri" w:hAnsi="Calibri"/>
                <w:sz w:val="22"/>
              </w:rPr>
              <w:t>Arns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M. EEG-Based Personalized Medicine in ADHD: Individual Alpha Peak Frequency as an </w:t>
            </w:r>
            <w:proofErr w:type="spellStart"/>
            <w:r w:rsidRPr="00E736B2">
              <w:rPr>
                <w:rFonts w:ascii="Calibri" w:hAnsi="Calibri"/>
                <w:sz w:val="22"/>
              </w:rPr>
              <w:t>Endophenotype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Associated with Nonresponse. J </w:t>
            </w:r>
            <w:proofErr w:type="spellStart"/>
            <w:r w:rsidRPr="00E736B2">
              <w:rPr>
                <w:rFonts w:ascii="Calibri" w:hAnsi="Calibri"/>
                <w:sz w:val="22"/>
              </w:rPr>
              <w:t>Neurother</w:t>
            </w:r>
            <w:proofErr w:type="spellEnd"/>
            <w:r w:rsidRPr="00E736B2">
              <w:rPr>
                <w:rFonts w:ascii="Calibri" w:hAnsi="Calibri"/>
                <w:sz w:val="22"/>
              </w:rPr>
              <w:t>. 2012 Apr 1</w:t>
            </w:r>
            <w:proofErr w:type="gramStart"/>
            <w:r w:rsidRPr="00E736B2">
              <w:rPr>
                <w:rFonts w:ascii="Calibri" w:hAnsi="Calibri"/>
                <w:sz w:val="22"/>
              </w:rPr>
              <w:t>;16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(2):123–41. </w:t>
            </w:r>
          </w:p>
          <w:p w:rsidRPr="00E736B2" w:rsidR="00E736B2" w:rsidP="00E736B2" w:rsidRDefault="00E736B2" w14:paraId="2D39343C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4. </w:t>
            </w:r>
            <w:r w:rsidRPr="00E736B2">
              <w:rPr>
                <w:rFonts w:ascii="Calibri" w:hAnsi="Calibri"/>
                <w:sz w:val="22"/>
              </w:rPr>
              <w:tab/>
            </w:r>
            <w:r w:rsidRPr="00E736B2">
              <w:rPr>
                <w:rFonts w:ascii="Calibri" w:hAnsi="Calibri"/>
                <w:sz w:val="22"/>
              </w:rPr>
              <w:t xml:space="preserve">Groom MJ, </w:t>
            </w:r>
            <w:proofErr w:type="spellStart"/>
            <w:r w:rsidRPr="00E736B2">
              <w:rPr>
                <w:rFonts w:ascii="Calibri" w:hAnsi="Calibri"/>
                <w:sz w:val="22"/>
              </w:rPr>
              <w:t>Scerif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G, Liddle PF, Batty MJ, Liddle EB, Roberts KL, et al. Effects of Motivation and Medication on Electrophysiological Markers of Response Inhibition in Children with Attention-Deficit/Hyperactivity Disorder. </w:t>
            </w:r>
            <w:proofErr w:type="spellStart"/>
            <w:r w:rsidRPr="00E736B2">
              <w:rPr>
                <w:rFonts w:ascii="Calibri" w:hAnsi="Calibri"/>
                <w:sz w:val="22"/>
              </w:rPr>
              <w:t>Biol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Psychiatry. 2010 Apr 1</w:t>
            </w:r>
            <w:proofErr w:type="gramStart"/>
            <w:r w:rsidRPr="00E736B2">
              <w:rPr>
                <w:rFonts w:ascii="Calibri" w:hAnsi="Calibri"/>
                <w:sz w:val="22"/>
              </w:rPr>
              <w:t>;67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(7):624–31. </w:t>
            </w:r>
          </w:p>
          <w:p w:rsidRPr="00E736B2" w:rsidR="00E736B2" w:rsidP="00E736B2" w:rsidRDefault="00E736B2" w14:paraId="0695A383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5. </w:t>
            </w:r>
            <w:r w:rsidRPr="00E736B2">
              <w:rPr>
                <w:rFonts w:ascii="Calibri" w:hAnsi="Calibri"/>
                <w:sz w:val="22"/>
              </w:rPr>
              <w:tab/>
            </w:r>
            <w:r w:rsidRPr="00E736B2">
              <w:rPr>
                <w:rFonts w:ascii="Calibri" w:hAnsi="Calibri"/>
                <w:sz w:val="22"/>
              </w:rPr>
              <w:t xml:space="preserve">Retzler J, Johnson S, Groom M, Hollis C, Budge H, Cragg L. Cognitive predictors of parent-rated inattention in very preterm children: The role of working memory and processing speed. Child </w:t>
            </w:r>
            <w:proofErr w:type="spellStart"/>
            <w:r w:rsidRPr="00E736B2">
              <w:rPr>
                <w:rFonts w:ascii="Calibri" w:hAnsi="Calibri"/>
                <w:sz w:val="22"/>
              </w:rPr>
              <w:t>Neuropsychol</w:t>
            </w:r>
            <w:proofErr w:type="spellEnd"/>
            <w:r w:rsidRPr="00E736B2">
              <w:rPr>
                <w:rFonts w:ascii="Calibri" w:hAnsi="Calibri"/>
                <w:sz w:val="22"/>
              </w:rPr>
              <w:t>. 2018 Sep 19</w:t>
            </w:r>
            <w:proofErr w:type="gramStart"/>
            <w:r w:rsidRPr="00E736B2">
              <w:rPr>
                <w:rFonts w:ascii="Calibri" w:hAnsi="Calibri"/>
                <w:sz w:val="22"/>
              </w:rPr>
              <w:t>;0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(0):1–19. </w:t>
            </w:r>
          </w:p>
          <w:p w:rsidRPr="00E736B2" w:rsidR="00E736B2" w:rsidP="00E736B2" w:rsidRDefault="00E736B2" w14:paraId="35AE9788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6. </w:t>
            </w:r>
            <w:r w:rsidRPr="00E736B2">
              <w:rPr>
                <w:rFonts w:ascii="Calibri" w:hAnsi="Calibri"/>
                <w:sz w:val="22"/>
              </w:rPr>
              <w:tab/>
            </w:r>
            <w:r w:rsidRPr="00E736B2">
              <w:rPr>
                <w:rFonts w:ascii="Calibri" w:hAnsi="Calibri"/>
                <w:sz w:val="22"/>
              </w:rPr>
              <w:t xml:space="preserve">Wessel JR, Danielmeier C, </w:t>
            </w:r>
            <w:proofErr w:type="spellStart"/>
            <w:r w:rsidRPr="00E736B2">
              <w:rPr>
                <w:rFonts w:ascii="Calibri" w:hAnsi="Calibri"/>
                <w:sz w:val="22"/>
              </w:rPr>
              <w:t>Ullsperger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M. Error Awareness Revisited: Accumulation of Multimodal Evidence from Central and Autonomic Nervous Systems. J </w:t>
            </w:r>
            <w:proofErr w:type="spellStart"/>
            <w:r w:rsidRPr="00E736B2">
              <w:rPr>
                <w:rFonts w:ascii="Calibri" w:hAnsi="Calibri"/>
                <w:sz w:val="22"/>
              </w:rPr>
              <w:t>Cogn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736B2">
              <w:rPr>
                <w:rFonts w:ascii="Calibri" w:hAnsi="Calibri"/>
                <w:sz w:val="22"/>
              </w:rPr>
              <w:t>Neurosci</w:t>
            </w:r>
            <w:proofErr w:type="spellEnd"/>
            <w:r w:rsidRPr="00E736B2">
              <w:rPr>
                <w:rFonts w:ascii="Calibri" w:hAnsi="Calibri"/>
                <w:sz w:val="22"/>
              </w:rPr>
              <w:t>. 2011 Jan 26</w:t>
            </w:r>
            <w:proofErr w:type="gramStart"/>
            <w:r w:rsidRPr="00E736B2">
              <w:rPr>
                <w:rFonts w:ascii="Calibri" w:hAnsi="Calibri"/>
                <w:sz w:val="22"/>
              </w:rPr>
              <w:t>;23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(10):3021–36. </w:t>
            </w:r>
          </w:p>
          <w:p w:rsidRPr="00E736B2" w:rsidR="00E736B2" w:rsidP="00E736B2" w:rsidRDefault="00E736B2" w14:paraId="05F80611" w14:textId="77777777">
            <w:pPr>
              <w:pStyle w:val="Bibliography"/>
              <w:spacing w:after="0"/>
              <w:rPr>
                <w:rFonts w:ascii="Calibri" w:hAnsi="Calibri"/>
                <w:sz w:val="22"/>
              </w:rPr>
            </w:pPr>
            <w:r w:rsidRPr="00E736B2">
              <w:rPr>
                <w:rFonts w:ascii="Calibri" w:hAnsi="Calibri"/>
                <w:sz w:val="22"/>
              </w:rPr>
              <w:t xml:space="preserve">7. </w:t>
            </w:r>
            <w:r w:rsidRPr="00E736B2">
              <w:rPr>
                <w:rFonts w:ascii="Calibri" w:hAnsi="Calibri"/>
                <w:sz w:val="22"/>
              </w:rPr>
              <w:tab/>
            </w:r>
            <w:r w:rsidRPr="00E736B2">
              <w:rPr>
                <w:rFonts w:ascii="Calibri" w:hAnsi="Calibri"/>
                <w:sz w:val="22"/>
              </w:rPr>
              <w:t xml:space="preserve">Danielmeier C, Allen EA, </w:t>
            </w:r>
            <w:proofErr w:type="spellStart"/>
            <w:r w:rsidRPr="00E736B2">
              <w:rPr>
                <w:rFonts w:ascii="Calibri" w:hAnsi="Calibri"/>
                <w:sz w:val="22"/>
              </w:rPr>
              <w:t>Jocham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G, </w:t>
            </w:r>
            <w:proofErr w:type="spellStart"/>
            <w:r w:rsidRPr="00E736B2">
              <w:rPr>
                <w:rFonts w:ascii="Calibri" w:hAnsi="Calibri"/>
                <w:sz w:val="22"/>
              </w:rPr>
              <w:t>Onur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OA, </w:t>
            </w:r>
            <w:proofErr w:type="spellStart"/>
            <w:r w:rsidRPr="00E736B2">
              <w:rPr>
                <w:rFonts w:ascii="Calibri" w:hAnsi="Calibri"/>
                <w:sz w:val="22"/>
              </w:rPr>
              <w:t>Eichele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T, </w:t>
            </w:r>
            <w:proofErr w:type="spellStart"/>
            <w:r w:rsidRPr="00E736B2">
              <w:rPr>
                <w:rFonts w:ascii="Calibri" w:hAnsi="Calibri"/>
                <w:sz w:val="22"/>
              </w:rPr>
              <w:t>Ullsperger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M. Acetylcholine Mediates </w:t>
            </w:r>
            <w:proofErr w:type="spellStart"/>
            <w:r w:rsidRPr="00E736B2">
              <w:rPr>
                <w:rFonts w:ascii="Calibri" w:hAnsi="Calibri"/>
                <w:sz w:val="22"/>
              </w:rPr>
              <w:t>Behavioral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and Neural Post-Error Control. </w:t>
            </w:r>
            <w:proofErr w:type="spellStart"/>
            <w:r w:rsidRPr="00E736B2">
              <w:rPr>
                <w:rFonts w:ascii="Calibri" w:hAnsi="Calibri"/>
                <w:sz w:val="22"/>
              </w:rPr>
              <w:t>Curr</w:t>
            </w:r>
            <w:proofErr w:type="spellEnd"/>
            <w:r w:rsidRPr="00E736B2">
              <w:rPr>
                <w:rFonts w:ascii="Calibri" w:hAnsi="Calibri"/>
                <w:sz w:val="22"/>
              </w:rPr>
              <w:t xml:space="preserve"> Biol. 2015 Jun 1</w:t>
            </w:r>
            <w:proofErr w:type="gramStart"/>
            <w:r w:rsidRPr="00E736B2">
              <w:rPr>
                <w:rFonts w:ascii="Calibri" w:hAnsi="Calibri"/>
                <w:sz w:val="22"/>
              </w:rPr>
              <w:t>;25</w:t>
            </w:r>
            <w:proofErr w:type="gramEnd"/>
            <w:r w:rsidRPr="00E736B2">
              <w:rPr>
                <w:rFonts w:ascii="Calibri" w:hAnsi="Calibri"/>
                <w:sz w:val="22"/>
              </w:rPr>
              <w:t xml:space="preserve">(11):1461–8. </w:t>
            </w:r>
          </w:p>
          <w:p w:rsidRPr="00DE7102" w:rsidR="00561D06" w:rsidP="00DE7102" w:rsidRDefault="00561D06" w14:paraId="3EEB8D7B" w14:textId="3C594309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:rsidRPr="004E435C" w:rsidR="00315251" w:rsidP="005E4A16" w:rsidRDefault="00315251" w14:paraId="5056C4ED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435C" w:rsidTr="3E102BBC" w14:paraId="1D5F71D3" w14:textId="77777777">
        <w:tc>
          <w:tcPr>
            <w:tcW w:w="2503" w:type="dxa"/>
            <w:tcMar/>
          </w:tcPr>
          <w:p w:rsidR="004E435C" w:rsidP="004E435C" w:rsidRDefault="004E435C" w14:paraId="0BC5AEF0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lastRenderedPageBreak/>
              <w:t>Graphic for Advertising</w:t>
            </w:r>
          </w:p>
          <w:p w:rsidRPr="004E435C" w:rsidR="00D37CCB" w:rsidP="004E435C" w:rsidRDefault="00D37CCB" w14:paraId="39D4D367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(Must be high resolution)</w:t>
            </w:r>
          </w:p>
        </w:tc>
        <w:tc>
          <w:tcPr>
            <w:tcW w:w="6513" w:type="dxa"/>
            <w:gridSpan w:val="3"/>
            <w:tcMar/>
          </w:tcPr>
          <w:p w:rsidR="00315251" w:rsidP="004E435C" w:rsidRDefault="00315251" w14:paraId="5F203D82" w14:textId="7777777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15251" w:rsidP="004E435C" w:rsidRDefault="00561D06" w14:paraId="72E481F6" w14:textId="251BF0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61D06">
              <w:rPr>
                <w:rFonts w:asciiTheme="minorHAnsi" w:hAnsiTheme="minorHAnsi" w:cstheme="minorHAnsi"/>
                <w:noProof/>
                <w:sz w:val="22"/>
                <w:lang w:eastAsia="en-GB"/>
              </w:rPr>
              <w:drawing>
                <wp:inline distT="0" distB="0" distL="0" distR="0" wp14:anchorId="716BC18E" wp14:editId="3561E81E">
                  <wp:extent cx="3839000" cy="2160000"/>
                  <wp:effectExtent l="0" t="0" r="0" b="0"/>
                  <wp:docPr id="2" name="Picture 2" descr="D:\Documents\funding_apps\Internal\ADHD_PhD_project_advert FINA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funding_apps\Internal\ADHD_PhD_project_advert FINA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4E435C" w:rsidR="004E435C" w:rsidP="00E736B2" w:rsidRDefault="004E435C" w14:paraId="35B289DB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Pr="004E435C" w:rsidR="004E435C" w:rsidP="004E435C" w:rsidRDefault="004E435C" w14:paraId="719E6844" w14:textId="77777777">
      <w:pPr>
        <w:jc w:val="center"/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</w:p>
    <w:sectPr w:rsidRPr="004E435C" w:rsidR="004E435C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38" w:rsidP="00315251" w:rsidRDefault="00943B38" w14:paraId="13BD3C80" w14:textId="77777777">
      <w:pPr>
        <w:spacing w:after="0" w:line="240" w:lineRule="auto"/>
      </w:pPr>
      <w:r>
        <w:separator/>
      </w:r>
    </w:p>
  </w:endnote>
  <w:endnote w:type="continuationSeparator" w:id="0">
    <w:p w:rsidR="00943B38" w:rsidP="00315251" w:rsidRDefault="00943B38" w14:paraId="2BA26F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38" w:rsidP="00315251" w:rsidRDefault="00943B38" w14:paraId="0B5C2CBF" w14:textId="77777777">
      <w:pPr>
        <w:spacing w:after="0" w:line="240" w:lineRule="auto"/>
      </w:pPr>
      <w:r>
        <w:separator/>
      </w:r>
    </w:p>
  </w:footnote>
  <w:footnote w:type="continuationSeparator" w:id="0">
    <w:p w:rsidR="00943B38" w:rsidP="00315251" w:rsidRDefault="00943B38" w14:paraId="672326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15251" w:rsidP="00315251" w:rsidRDefault="00315251" w14:paraId="5199D038" w14:textId="77777777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hAnsi="Arial" w:eastAsia="MS Mincho" w:cs="Times New Roman"/>
        <w:b/>
        <w:color w:val="003466"/>
        <w:sz w:val="24"/>
        <w:szCs w:val="24"/>
        <w:lang w:val="en-US"/>
      </w:rPr>
    </w:pPr>
  </w:p>
  <w:p w:rsidRPr="00315251" w:rsidR="00315251" w:rsidP="00315251" w:rsidRDefault="00315251" w14:paraId="14D5C319" w14:textId="77777777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hAnsi="Arial" w:eastAsia="MS Mincho" w:cs="Times New Roman"/>
        <w:b/>
        <w:color w:val="003466"/>
        <w:sz w:val="24"/>
        <w:szCs w:val="24"/>
        <w:lang w:val="en-US"/>
      </w:rPr>
    </w:pPr>
    <w:r w:rsidRPr="00315251">
      <w:rPr>
        <w:rFonts w:ascii="Cambria" w:hAnsi="Cambria" w:eastAsia="MS Mincho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93A0976" wp14:editId="6289AC5D">
          <wp:simplePos x="0" y="0"/>
          <wp:positionH relativeFrom="margin">
            <wp:align>right</wp:align>
          </wp:positionH>
          <wp:positionV relativeFrom="page">
            <wp:posOffset>397510</wp:posOffset>
          </wp:positionV>
          <wp:extent cx="2159000" cy="797560"/>
          <wp:effectExtent l="0" t="0" r="0" b="254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251">
      <w:rPr>
        <w:rFonts w:ascii="Arial" w:hAnsi="Arial" w:eastAsia="MS Mincho" w:cs="Times New Roman"/>
        <w:b/>
        <w:color w:val="003466"/>
        <w:sz w:val="24"/>
        <w:szCs w:val="24"/>
        <w:lang w:val="en-US"/>
      </w:rPr>
      <w:t>Precision Imaging Beacon of Excellence</w:t>
    </w:r>
  </w:p>
  <w:p w:rsidR="00315251" w:rsidP="00315251" w:rsidRDefault="00315251" w14:paraId="67AA45E2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5982"/>
    <w:multiLevelType w:val="hybridMultilevel"/>
    <w:tmpl w:val="35AA33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C"/>
    <w:rsid w:val="0002438F"/>
    <w:rsid w:val="00031D29"/>
    <w:rsid w:val="00060A85"/>
    <w:rsid w:val="00063722"/>
    <w:rsid w:val="000B2F6C"/>
    <w:rsid w:val="001967B4"/>
    <w:rsid w:val="001A71D3"/>
    <w:rsid w:val="001B1A0B"/>
    <w:rsid w:val="001D2ACB"/>
    <w:rsid w:val="001E5EDC"/>
    <w:rsid w:val="00220E49"/>
    <w:rsid w:val="00237252"/>
    <w:rsid w:val="002E3571"/>
    <w:rsid w:val="00315251"/>
    <w:rsid w:val="00334069"/>
    <w:rsid w:val="003355A9"/>
    <w:rsid w:val="00335932"/>
    <w:rsid w:val="00336549"/>
    <w:rsid w:val="00357A65"/>
    <w:rsid w:val="003A2A6D"/>
    <w:rsid w:val="003A5207"/>
    <w:rsid w:val="003B1AA9"/>
    <w:rsid w:val="004432F0"/>
    <w:rsid w:val="00467C1F"/>
    <w:rsid w:val="004B3608"/>
    <w:rsid w:val="004C18CA"/>
    <w:rsid w:val="004D063B"/>
    <w:rsid w:val="004E435C"/>
    <w:rsid w:val="004E4B79"/>
    <w:rsid w:val="00561D06"/>
    <w:rsid w:val="005E0633"/>
    <w:rsid w:val="005E4A16"/>
    <w:rsid w:val="00656D5E"/>
    <w:rsid w:val="00676458"/>
    <w:rsid w:val="006E2BA2"/>
    <w:rsid w:val="00705A6A"/>
    <w:rsid w:val="0074105A"/>
    <w:rsid w:val="00812598"/>
    <w:rsid w:val="00820065"/>
    <w:rsid w:val="00863E2F"/>
    <w:rsid w:val="008846D6"/>
    <w:rsid w:val="008A72C0"/>
    <w:rsid w:val="00915776"/>
    <w:rsid w:val="00943B38"/>
    <w:rsid w:val="009566FF"/>
    <w:rsid w:val="00A34238"/>
    <w:rsid w:val="00A845AD"/>
    <w:rsid w:val="00AB3A99"/>
    <w:rsid w:val="00B502F6"/>
    <w:rsid w:val="00B60166"/>
    <w:rsid w:val="00BA144C"/>
    <w:rsid w:val="00BA4A05"/>
    <w:rsid w:val="00BB3192"/>
    <w:rsid w:val="00BB58AF"/>
    <w:rsid w:val="00BD239E"/>
    <w:rsid w:val="00C70C15"/>
    <w:rsid w:val="00CB4E4D"/>
    <w:rsid w:val="00CB76BB"/>
    <w:rsid w:val="00CC609C"/>
    <w:rsid w:val="00CF1898"/>
    <w:rsid w:val="00D37CCB"/>
    <w:rsid w:val="00D852DD"/>
    <w:rsid w:val="00D94CA7"/>
    <w:rsid w:val="00DE7102"/>
    <w:rsid w:val="00DF6D82"/>
    <w:rsid w:val="00E736B2"/>
    <w:rsid w:val="00EC277C"/>
    <w:rsid w:val="00F067E3"/>
    <w:rsid w:val="00F4212D"/>
    <w:rsid w:val="00F56816"/>
    <w:rsid w:val="00F84861"/>
    <w:rsid w:val="00FF59CB"/>
    <w:rsid w:val="3E1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9FA4"/>
  <w15:chartTrackingRefBased/>
  <w15:docId w15:val="{0CE48C0D-67F9-4B0C-8CB4-8C61F6064C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67E3"/>
    <w:rPr>
      <w:rFonts w:ascii="Verdana" w:hAnsi="Verdana"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3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43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style-span" w:customStyle="1">
    <w:name w:val="apple-style-span"/>
    <w:basedOn w:val="DefaultParagraphFont"/>
    <w:rsid w:val="004E435C"/>
  </w:style>
  <w:style w:type="paragraph" w:styleId="Header">
    <w:name w:val="header"/>
    <w:basedOn w:val="Normal"/>
    <w:link w:val="Head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5251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5251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633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0633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6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0633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4B7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61D06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iff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D8DFF5E72484A8BFE7C212D11AA25" ma:contentTypeVersion="2" ma:contentTypeDescription="Create a new document." ma:contentTypeScope="" ma:versionID="20faeacbd36af85b5825aad0d6dcec2c">
  <xsd:schema xmlns:xsd="http://www.w3.org/2001/XMLSchema" xmlns:xs="http://www.w3.org/2001/XMLSchema" xmlns:p="http://schemas.microsoft.com/office/2006/metadata/properties" xmlns:ns2="4ecdaa81-240f-42f2-b0b8-1ae776223265" targetNamespace="http://schemas.microsoft.com/office/2006/metadata/properties" ma:root="true" ma:fieldsID="3c8ab1886665985719726f8912eb930d" ns2:_="">
    <xsd:import namespace="4ecdaa81-240f-42f2-b0b8-1ae776223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aa81-240f-42f2-b0b8-1ae776223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1A45B-EB96-40AD-B117-65043E222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6F0CD-D48A-49C3-9902-27BEA2871DFC}"/>
</file>

<file path=customXml/itemProps3.xml><?xml version="1.0" encoding="utf-8"?>
<ds:datastoreItem xmlns:ds="http://schemas.openxmlformats.org/officeDocument/2006/customXml" ds:itemID="{EB9AEE68-52BF-42BC-A13F-BCF14DD3D512}"/>
</file>

<file path=customXml/itemProps4.xml><?xml version="1.0" encoding="utf-8"?>
<ds:datastoreItem xmlns:ds="http://schemas.openxmlformats.org/officeDocument/2006/customXml" ds:itemID="{52EF8F28-686E-45DF-B6FB-57997487BD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Nottingham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Ruse</dc:creator>
  <cp:keywords/>
  <dc:description/>
  <cp:lastModifiedBy>Cheryl Ruse</cp:lastModifiedBy>
  <cp:revision>11</cp:revision>
  <dcterms:created xsi:type="dcterms:W3CDTF">2018-11-12T13:10:00Z</dcterms:created>
  <dcterms:modified xsi:type="dcterms:W3CDTF">2018-12-14T12:28:29Z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zotero-version="5.0.58"&gt;&lt;session id="FclSw969"/&gt;&lt;style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ContentTypeId">
    <vt:lpwstr>0x010100A2FD8DFF5E72484A8BFE7C212D11AA25</vt:lpwstr>
  </property>
  <property fmtid="{D5CDD505-2E9C-101B-9397-08002B2CF9AE}" pid="5" name="Order">
    <vt:r8>24600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