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5C" w:rsidRDefault="004E435C" w:rsidP="004E435C">
      <w:pPr>
        <w:jc w:val="center"/>
        <w:rPr>
          <w:rFonts w:asciiTheme="majorHAnsi" w:hAnsiTheme="majorHAnsi" w:cstheme="majorHAnsi"/>
          <w:b/>
          <w:color w:val="1F4E79" w:themeColor="accent1" w:themeShade="80"/>
          <w:sz w:val="24"/>
          <w:szCs w:val="24"/>
          <w:u w:val="single"/>
        </w:rPr>
      </w:pPr>
      <w:r w:rsidRPr="004E435C">
        <w:rPr>
          <w:rFonts w:asciiTheme="majorHAnsi" w:hAnsiTheme="majorHAnsi" w:cstheme="majorHAnsi"/>
          <w:b/>
          <w:color w:val="1F4E79" w:themeColor="accent1" w:themeShade="80"/>
          <w:sz w:val="24"/>
          <w:szCs w:val="24"/>
          <w:u w:val="single"/>
        </w:rPr>
        <w:t xml:space="preserve">Studentship </w:t>
      </w:r>
      <w:r>
        <w:rPr>
          <w:rFonts w:asciiTheme="majorHAnsi" w:hAnsiTheme="majorHAnsi" w:cstheme="majorHAnsi"/>
          <w:b/>
          <w:color w:val="1F4E79" w:themeColor="accent1" w:themeShade="80"/>
          <w:sz w:val="24"/>
          <w:szCs w:val="24"/>
          <w:u w:val="single"/>
        </w:rPr>
        <w:t>Form</w:t>
      </w:r>
    </w:p>
    <w:p w:rsidR="00D37CCB" w:rsidRPr="00D37CCB" w:rsidRDefault="00D37CCB" w:rsidP="00D37CCB">
      <w:pPr>
        <w:rPr>
          <w:rFonts w:asciiTheme="majorHAnsi" w:hAnsiTheme="majorHAnsi" w:cstheme="majorHAnsi"/>
          <w:color w:val="1F4E79" w:themeColor="accent1" w:themeShade="80"/>
          <w:sz w:val="22"/>
        </w:rPr>
      </w:pPr>
      <w:r w:rsidRPr="00D37CCB">
        <w:rPr>
          <w:rFonts w:asciiTheme="majorHAnsi" w:hAnsiTheme="majorHAnsi" w:cstheme="majorHAnsi"/>
          <w:color w:val="1F4E79" w:themeColor="accent1" w:themeShade="80"/>
          <w:sz w:val="22"/>
        </w:rPr>
        <w:t xml:space="preserve">The Precision Imaging Beacon wishes to promote cross-disciplinary interaction between Schools, with an expectation of at least two supervisors.  </w:t>
      </w:r>
    </w:p>
    <w:tbl>
      <w:tblPr>
        <w:tblStyle w:val="TableGrid"/>
        <w:tblW w:w="0" w:type="auto"/>
        <w:tblLook w:val="04A0" w:firstRow="1" w:lastRow="0" w:firstColumn="1" w:lastColumn="0" w:noHBand="0" w:noVBand="1"/>
      </w:tblPr>
      <w:tblGrid>
        <w:gridCol w:w="2127"/>
        <w:gridCol w:w="2251"/>
        <w:gridCol w:w="2293"/>
        <w:gridCol w:w="2345"/>
      </w:tblGrid>
      <w:tr w:rsidR="00215ACA" w:rsidTr="004E435C">
        <w:tc>
          <w:tcPr>
            <w:tcW w:w="2503" w:type="dxa"/>
          </w:tcPr>
          <w:p w:rsidR="004E435C" w:rsidRPr="004E435C" w:rsidRDefault="00C70C15"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First </w:t>
            </w:r>
            <w:r w:rsidR="004E435C" w:rsidRPr="004E435C">
              <w:rPr>
                <w:rFonts w:asciiTheme="minorHAnsi" w:hAnsiTheme="minorHAnsi" w:cstheme="minorHAnsi"/>
                <w:color w:val="1F4E79" w:themeColor="accent1" w:themeShade="80"/>
                <w:sz w:val="22"/>
              </w:rPr>
              <w:t>Supervisors name</w:t>
            </w:r>
          </w:p>
        </w:tc>
        <w:tc>
          <w:tcPr>
            <w:tcW w:w="2171" w:type="dxa"/>
          </w:tcPr>
          <w:p w:rsidR="004E435C" w:rsidRPr="004E435C" w:rsidRDefault="00B803DC" w:rsidP="00BB58AF">
            <w:pPr>
              <w:rPr>
                <w:rFonts w:asciiTheme="minorHAnsi" w:hAnsiTheme="minorHAnsi" w:cstheme="minorHAnsi"/>
                <w:sz w:val="22"/>
              </w:rPr>
            </w:pPr>
            <w:r>
              <w:rPr>
                <w:rFonts w:asciiTheme="minorHAnsi" w:hAnsiTheme="minorHAnsi" w:cstheme="minorHAnsi"/>
                <w:sz w:val="22"/>
              </w:rPr>
              <w:t xml:space="preserve">Richard Bowtell </w:t>
            </w:r>
          </w:p>
        </w:tc>
        <w:tc>
          <w:tcPr>
            <w:tcW w:w="2171" w:type="dxa"/>
          </w:tcPr>
          <w:p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School Addresses</w:t>
            </w:r>
          </w:p>
        </w:tc>
        <w:tc>
          <w:tcPr>
            <w:tcW w:w="2171" w:type="dxa"/>
          </w:tcPr>
          <w:p w:rsidR="004E435C" w:rsidRPr="004E435C" w:rsidRDefault="00B803DC" w:rsidP="004E435C">
            <w:pPr>
              <w:rPr>
                <w:rFonts w:asciiTheme="minorHAnsi" w:hAnsiTheme="minorHAnsi" w:cstheme="minorHAnsi"/>
                <w:sz w:val="22"/>
              </w:rPr>
            </w:pPr>
            <w:r>
              <w:rPr>
                <w:rFonts w:asciiTheme="minorHAnsi" w:hAnsiTheme="minorHAnsi" w:cstheme="minorHAnsi"/>
                <w:sz w:val="22"/>
              </w:rPr>
              <w:t xml:space="preserve">Physics and Astronomy </w:t>
            </w:r>
          </w:p>
        </w:tc>
      </w:tr>
      <w:tr w:rsidR="00215ACA" w:rsidTr="004E435C">
        <w:tc>
          <w:tcPr>
            <w:tcW w:w="2503" w:type="dxa"/>
          </w:tcPr>
          <w:p w:rsidR="00215ACA" w:rsidRDefault="00215ACA" w:rsidP="00215ACA">
            <w:pPr>
              <w:jc w:val="center"/>
              <w:rPr>
                <w:rFonts w:asciiTheme="minorHAnsi" w:hAnsiTheme="minorHAnsi" w:cstheme="minorHAnsi"/>
                <w:color w:val="1F4E79" w:themeColor="accent1" w:themeShade="80"/>
                <w:sz w:val="22"/>
              </w:rPr>
            </w:pPr>
            <w:r w:rsidRPr="00D37CCB">
              <w:rPr>
                <w:rFonts w:asciiTheme="minorHAnsi" w:hAnsiTheme="minorHAnsi" w:cstheme="minorHAnsi"/>
                <w:color w:val="1F4E79" w:themeColor="accent1" w:themeShade="80"/>
                <w:sz w:val="22"/>
              </w:rPr>
              <w:t>Co Supervisors name</w:t>
            </w:r>
          </w:p>
        </w:tc>
        <w:tc>
          <w:tcPr>
            <w:tcW w:w="2171" w:type="dxa"/>
          </w:tcPr>
          <w:p w:rsidR="00215ACA" w:rsidRPr="004E435C" w:rsidRDefault="00215ACA" w:rsidP="00215ACA">
            <w:pPr>
              <w:rPr>
                <w:rFonts w:asciiTheme="minorHAnsi" w:hAnsiTheme="minorHAnsi" w:cstheme="minorHAnsi"/>
                <w:sz w:val="22"/>
              </w:rPr>
            </w:pPr>
            <w:r>
              <w:rPr>
                <w:rFonts w:asciiTheme="minorHAnsi" w:hAnsiTheme="minorHAnsi" w:cstheme="minorHAnsi"/>
                <w:sz w:val="22"/>
              </w:rPr>
              <w:t xml:space="preserve">Dorothee Auer </w:t>
            </w:r>
          </w:p>
        </w:tc>
        <w:tc>
          <w:tcPr>
            <w:tcW w:w="2171" w:type="dxa"/>
          </w:tcPr>
          <w:p w:rsidR="00215ACA" w:rsidRPr="004E435C" w:rsidRDefault="00215ACA" w:rsidP="00215ACA">
            <w:pPr>
              <w:jc w:val="center"/>
              <w:rPr>
                <w:rFonts w:asciiTheme="minorHAnsi" w:hAnsiTheme="minorHAnsi" w:cstheme="minorHAnsi"/>
                <w:color w:val="1F4E79" w:themeColor="accent1" w:themeShade="80"/>
                <w:sz w:val="22"/>
              </w:rPr>
            </w:pPr>
            <w:r w:rsidRPr="00D37CCB">
              <w:rPr>
                <w:rFonts w:asciiTheme="minorHAnsi" w:hAnsiTheme="minorHAnsi" w:cstheme="minorHAnsi"/>
                <w:color w:val="1F4E79" w:themeColor="accent1" w:themeShade="80"/>
                <w:sz w:val="22"/>
              </w:rPr>
              <w:t>School Addresses</w:t>
            </w:r>
          </w:p>
        </w:tc>
        <w:tc>
          <w:tcPr>
            <w:tcW w:w="2171" w:type="dxa"/>
          </w:tcPr>
          <w:p w:rsidR="00215ACA" w:rsidRPr="004E435C" w:rsidRDefault="00215ACA" w:rsidP="00215ACA">
            <w:pPr>
              <w:rPr>
                <w:rFonts w:asciiTheme="minorHAnsi" w:hAnsiTheme="minorHAnsi" w:cstheme="minorHAnsi"/>
                <w:sz w:val="22"/>
              </w:rPr>
            </w:pPr>
            <w:r>
              <w:rPr>
                <w:rFonts w:asciiTheme="minorHAnsi" w:hAnsiTheme="minorHAnsi" w:cstheme="minorHAnsi"/>
                <w:sz w:val="22"/>
              </w:rPr>
              <w:t xml:space="preserve">Medicine </w:t>
            </w:r>
          </w:p>
        </w:tc>
      </w:tr>
      <w:tr w:rsidR="00215ACA" w:rsidTr="004E435C">
        <w:tc>
          <w:tcPr>
            <w:tcW w:w="2503" w:type="dxa"/>
          </w:tcPr>
          <w:p w:rsidR="004E435C" w:rsidRPr="004E435C" w:rsidRDefault="00C70C15"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Co </w:t>
            </w:r>
            <w:r w:rsidR="004E435C" w:rsidRPr="004E435C">
              <w:rPr>
                <w:rFonts w:asciiTheme="minorHAnsi" w:hAnsiTheme="minorHAnsi" w:cstheme="minorHAnsi"/>
                <w:color w:val="1F4E79" w:themeColor="accent1" w:themeShade="80"/>
                <w:sz w:val="22"/>
              </w:rPr>
              <w:t>Supervisors name</w:t>
            </w:r>
          </w:p>
        </w:tc>
        <w:tc>
          <w:tcPr>
            <w:tcW w:w="2171" w:type="dxa"/>
          </w:tcPr>
          <w:p w:rsidR="004E435C" w:rsidRPr="004E435C" w:rsidRDefault="00CB56FE" w:rsidP="004E435C">
            <w:pPr>
              <w:rPr>
                <w:rFonts w:asciiTheme="minorHAnsi" w:hAnsiTheme="minorHAnsi" w:cstheme="minorHAnsi"/>
                <w:sz w:val="22"/>
              </w:rPr>
            </w:pPr>
            <w:r>
              <w:rPr>
                <w:rFonts w:asciiTheme="minorHAnsi" w:hAnsiTheme="minorHAnsi" w:cstheme="minorHAnsi"/>
                <w:sz w:val="22"/>
              </w:rPr>
              <w:t xml:space="preserve">Penny Gowland </w:t>
            </w:r>
          </w:p>
        </w:tc>
        <w:tc>
          <w:tcPr>
            <w:tcW w:w="2171" w:type="dxa"/>
          </w:tcPr>
          <w:p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School Addresses</w:t>
            </w:r>
          </w:p>
        </w:tc>
        <w:tc>
          <w:tcPr>
            <w:tcW w:w="2171" w:type="dxa"/>
          </w:tcPr>
          <w:p w:rsidR="004E435C" w:rsidRPr="004E435C" w:rsidRDefault="00CB56FE" w:rsidP="004E435C">
            <w:pPr>
              <w:rPr>
                <w:rFonts w:asciiTheme="minorHAnsi" w:hAnsiTheme="minorHAnsi" w:cstheme="minorHAnsi"/>
                <w:sz w:val="22"/>
              </w:rPr>
            </w:pPr>
            <w:r>
              <w:rPr>
                <w:rFonts w:asciiTheme="minorHAnsi" w:hAnsiTheme="minorHAnsi" w:cstheme="minorHAnsi"/>
                <w:sz w:val="22"/>
              </w:rPr>
              <w:t>Physics and Astronomy</w:t>
            </w:r>
          </w:p>
        </w:tc>
      </w:tr>
      <w:tr w:rsidR="00215ACA" w:rsidTr="004E435C">
        <w:tc>
          <w:tcPr>
            <w:tcW w:w="2503" w:type="dxa"/>
          </w:tcPr>
          <w:p w:rsidR="00D37CCB" w:rsidRDefault="00D37CCB" w:rsidP="004E435C">
            <w:pPr>
              <w:jc w:val="center"/>
              <w:rPr>
                <w:rFonts w:asciiTheme="minorHAnsi" w:hAnsiTheme="minorHAnsi" w:cstheme="minorHAnsi"/>
                <w:color w:val="1F4E79" w:themeColor="accent1" w:themeShade="80"/>
                <w:sz w:val="22"/>
              </w:rPr>
            </w:pPr>
            <w:r w:rsidRPr="00D37CCB">
              <w:rPr>
                <w:rFonts w:asciiTheme="minorHAnsi" w:hAnsiTheme="minorHAnsi" w:cstheme="minorHAnsi"/>
                <w:color w:val="1F4E79" w:themeColor="accent1" w:themeShade="80"/>
                <w:sz w:val="22"/>
              </w:rPr>
              <w:t>Co Supervisors name</w:t>
            </w:r>
          </w:p>
        </w:tc>
        <w:tc>
          <w:tcPr>
            <w:tcW w:w="2171" w:type="dxa"/>
          </w:tcPr>
          <w:p w:rsidR="00D37CCB" w:rsidRPr="004E435C" w:rsidRDefault="00CB56FE" w:rsidP="004E435C">
            <w:pPr>
              <w:rPr>
                <w:rFonts w:asciiTheme="minorHAnsi" w:hAnsiTheme="minorHAnsi" w:cstheme="minorHAnsi"/>
                <w:sz w:val="22"/>
              </w:rPr>
            </w:pPr>
            <w:r>
              <w:rPr>
                <w:rFonts w:asciiTheme="minorHAnsi" w:hAnsiTheme="minorHAnsi" w:cstheme="minorHAnsi"/>
                <w:sz w:val="22"/>
              </w:rPr>
              <w:t>Paul Glover</w:t>
            </w:r>
          </w:p>
        </w:tc>
        <w:tc>
          <w:tcPr>
            <w:tcW w:w="2171" w:type="dxa"/>
          </w:tcPr>
          <w:p w:rsidR="00D37CCB" w:rsidRPr="004E435C" w:rsidRDefault="00D37CCB" w:rsidP="004E435C">
            <w:pPr>
              <w:jc w:val="center"/>
              <w:rPr>
                <w:rFonts w:asciiTheme="minorHAnsi" w:hAnsiTheme="minorHAnsi" w:cstheme="minorHAnsi"/>
                <w:color w:val="1F4E79" w:themeColor="accent1" w:themeShade="80"/>
                <w:sz w:val="22"/>
              </w:rPr>
            </w:pPr>
            <w:r w:rsidRPr="00D37CCB">
              <w:rPr>
                <w:rFonts w:asciiTheme="minorHAnsi" w:hAnsiTheme="minorHAnsi" w:cstheme="minorHAnsi"/>
                <w:color w:val="1F4E79" w:themeColor="accent1" w:themeShade="80"/>
                <w:sz w:val="22"/>
              </w:rPr>
              <w:t>School Addresses</w:t>
            </w:r>
          </w:p>
        </w:tc>
        <w:tc>
          <w:tcPr>
            <w:tcW w:w="2171" w:type="dxa"/>
          </w:tcPr>
          <w:p w:rsidR="00D37CCB" w:rsidRPr="004E435C" w:rsidRDefault="00CB56FE" w:rsidP="004E435C">
            <w:pPr>
              <w:rPr>
                <w:rFonts w:asciiTheme="minorHAnsi" w:hAnsiTheme="minorHAnsi" w:cstheme="minorHAnsi"/>
                <w:sz w:val="22"/>
              </w:rPr>
            </w:pPr>
            <w:r>
              <w:rPr>
                <w:rFonts w:asciiTheme="minorHAnsi" w:hAnsiTheme="minorHAnsi" w:cstheme="minorHAnsi"/>
                <w:sz w:val="22"/>
              </w:rPr>
              <w:t>Physics and Astronomy</w:t>
            </w:r>
          </w:p>
        </w:tc>
      </w:tr>
      <w:tr w:rsidR="00215ACA" w:rsidTr="004E435C">
        <w:tc>
          <w:tcPr>
            <w:tcW w:w="2503" w:type="dxa"/>
          </w:tcPr>
          <w:p w:rsidR="00B803DC" w:rsidRPr="004E435C" w:rsidRDefault="00B803DC" w:rsidP="00B803D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Start date </w:t>
            </w:r>
          </w:p>
        </w:tc>
        <w:tc>
          <w:tcPr>
            <w:tcW w:w="2171" w:type="dxa"/>
          </w:tcPr>
          <w:p w:rsidR="00B803DC" w:rsidRPr="004E435C" w:rsidRDefault="00B803DC" w:rsidP="00B803DC">
            <w:pPr>
              <w:rPr>
                <w:rFonts w:asciiTheme="minorHAnsi" w:hAnsiTheme="minorHAnsi" w:cstheme="minorHAnsi"/>
                <w:sz w:val="22"/>
              </w:rPr>
            </w:pPr>
            <w:r>
              <w:rPr>
                <w:rFonts w:asciiTheme="minorHAnsi" w:hAnsiTheme="minorHAnsi" w:cstheme="minorHAnsi"/>
                <w:sz w:val="22"/>
              </w:rPr>
              <w:t>Sept 2019</w:t>
            </w:r>
          </w:p>
        </w:tc>
        <w:tc>
          <w:tcPr>
            <w:tcW w:w="2171" w:type="dxa"/>
          </w:tcPr>
          <w:p w:rsidR="00B803DC" w:rsidRPr="004E435C" w:rsidRDefault="00B803DC" w:rsidP="00B803D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Duration  </w:t>
            </w:r>
          </w:p>
        </w:tc>
        <w:tc>
          <w:tcPr>
            <w:tcW w:w="2171" w:type="dxa"/>
          </w:tcPr>
          <w:p w:rsidR="00B803DC" w:rsidRPr="004E435C" w:rsidRDefault="00B803DC" w:rsidP="00B803DC">
            <w:pPr>
              <w:rPr>
                <w:rFonts w:asciiTheme="minorHAnsi" w:hAnsiTheme="minorHAnsi" w:cstheme="minorHAnsi"/>
                <w:sz w:val="22"/>
              </w:rPr>
            </w:pPr>
            <w:r>
              <w:rPr>
                <w:rFonts w:asciiTheme="minorHAnsi" w:hAnsiTheme="minorHAnsi" w:cstheme="minorHAnsi"/>
                <w:sz w:val="22"/>
              </w:rPr>
              <w:t>3.5 years</w:t>
            </w:r>
          </w:p>
        </w:tc>
      </w:tr>
      <w:tr w:rsidR="00B803DC" w:rsidTr="00BE1754">
        <w:tc>
          <w:tcPr>
            <w:tcW w:w="2503" w:type="dxa"/>
          </w:tcPr>
          <w:p w:rsidR="00B803DC" w:rsidRPr="004E435C" w:rsidRDefault="00B803DC" w:rsidP="00B803D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Student </w:t>
            </w:r>
          </w:p>
        </w:tc>
        <w:tc>
          <w:tcPr>
            <w:tcW w:w="6513" w:type="dxa"/>
            <w:gridSpan w:val="3"/>
          </w:tcPr>
          <w:p w:rsidR="00B803DC" w:rsidRPr="004E435C" w:rsidRDefault="00B803DC" w:rsidP="00B803DC">
            <w:pPr>
              <w:rPr>
                <w:rFonts w:asciiTheme="minorHAnsi" w:hAnsiTheme="minorHAnsi" w:cstheme="minorHAnsi"/>
                <w:bCs/>
                <w:sz w:val="22"/>
              </w:rPr>
            </w:pPr>
            <w:r>
              <w:rPr>
                <w:rFonts w:asciiTheme="minorHAnsi" w:hAnsiTheme="minorHAnsi" w:cstheme="minorHAnsi"/>
                <w:bCs/>
                <w:sz w:val="22"/>
              </w:rPr>
              <w:t>TBC following selection process</w:t>
            </w:r>
          </w:p>
        </w:tc>
      </w:tr>
      <w:tr w:rsidR="00B803DC" w:rsidTr="00BE1754">
        <w:tc>
          <w:tcPr>
            <w:tcW w:w="2503" w:type="dxa"/>
          </w:tcPr>
          <w:p w:rsidR="00B803DC" w:rsidRPr="004E435C" w:rsidRDefault="00B803DC" w:rsidP="00B803D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Project Title</w:t>
            </w:r>
          </w:p>
        </w:tc>
        <w:tc>
          <w:tcPr>
            <w:tcW w:w="6513" w:type="dxa"/>
            <w:gridSpan w:val="3"/>
          </w:tcPr>
          <w:p w:rsidR="00B803DC" w:rsidRPr="004E435C" w:rsidRDefault="00132ABC" w:rsidP="00B803DC">
            <w:pPr>
              <w:rPr>
                <w:rFonts w:asciiTheme="minorHAnsi" w:hAnsiTheme="minorHAnsi" w:cstheme="minorHAnsi"/>
                <w:sz w:val="22"/>
              </w:rPr>
            </w:pPr>
            <w:r>
              <w:rPr>
                <w:rFonts w:asciiTheme="minorHAnsi" w:hAnsiTheme="minorHAnsi" w:cstheme="minorHAnsi"/>
                <w:sz w:val="22"/>
              </w:rPr>
              <w:t xml:space="preserve">Evaluating the benefits and challenges of ultra-high field (11.7T) for magnetic resonance imaging and spectroscopy </w:t>
            </w:r>
          </w:p>
        </w:tc>
      </w:tr>
      <w:tr w:rsidR="00B803DC" w:rsidTr="00BE1754">
        <w:tc>
          <w:tcPr>
            <w:tcW w:w="2503" w:type="dxa"/>
          </w:tcPr>
          <w:p w:rsidR="00B803DC" w:rsidRPr="004E435C" w:rsidRDefault="00B803DC" w:rsidP="00B803D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Project Abstract</w:t>
            </w:r>
          </w:p>
        </w:tc>
        <w:tc>
          <w:tcPr>
            <w:tcW w:w="6513" w:type="dxa"/>
            <w:gridSpan w:val="3"/>
          </w:tcPr>
          <w:p w:rsidR="00215ACA" w:rsidRDefault="00215ACA" w:rsidP="00215ACA">
            <w:pPr>
              <w:rPr>
                <w:rFonts w:asciiTheme="minorHAnsi" w:hAnsiTheme="minorHAnsi" w:cstheme="minorHAnsi"/>
                <w:sz w:val="22"/>
              </w:rPr>
            </w:pPr>
            <w:r w:rsidRPr="00215ACA">
              <w:rPr>
                <w:rFonts w:asciiTheme="minorHAnsi" w:hAnsiTheme="minorHAnsi" w:cstheme="minorHAnsi"/>
                <w:sz w:val="22"/>
              </w:rPr>
              <w:t>High magnetic field strength offers great benefits for magnetic resonance imaging and spectroscopy, providing improved spatial and temporal resolution, greater sensitivity to physiological changes - particularly for functional brain imaging - and access to new contrasts, such as those based on chemical exchange saturation transfer and magnetic susceptibility. High field also delivers greater spectral dispersion and enhanced sensitivity for MRS based on measurement of signals from 1H nuclei in metabolites. It also opens up new possibilities for metabolic and kinetic studies based on measurement of the signals from other nuclear species, including 13C, 17O, 31P, 23Na, 39</w:t>
            </w:r>
            <w:proofErr w:type="gramStart"/>
            <w:r w:rsidRPr="00215ACA">
              <w:rPr>
                <w:rFonts w:asciiTheme="minorHAnsi" w:hAnsiTheme="minorHAnsi" w:cstheme="minorHAnsi"/>
                <w:sz w:val="22"/>
              </w:rPr>
              <w:t>K  and</w:t>
            </w:r>
            <w:proofErr w:type="gramEnd"/>
            <w:r w:rsidRPr="00215ACA">
              <w:rPr>
                <w:rFonts w:asciiTheme="minorHAnsi" w:hAnsiTheme="minorHAnsi" w:cstheme="minorHAnsi"/>
                <w:sz w:val="22"/>
              </w:rPr>
              <w:t xml:space="preserve"> even 7Li.  For these reasons we are planning a major project to develop an ultra-high field (11.7 T) human MRI scanner facility at the University of Nottingham, which would be operated as a national facility. Realisation of the benefits of high field, will require the development of novel technologies and approaches that will overcome the challenges of operating at higher magnetic resonance frequencies. These include larger perturbations of the RF (radio-frequency) and static magnetic fields by the tissues of the human body, and greater sensitivity to small subject motions. </w:t>
            </w:r>
          </w:p>
          <w:p w:rsidR="00215ACA" w:rsidRPr="00215ACA" w:rsidRDefault="00215ACA" w:rsidP="00215ACA">
            <w:pPr>
              <w:rPr>
                <w:rFonts w:asciiTheme="minorHAnsi" w:hAnsiTheme="minorHAnsi" w:cstheme="minorHAnsi"/>
                <w:sz w:val="22"/>
              </w:rPr>
            </w:pPr>
          </w:p>
          <w:p w:rsidR="00B803DC" w:rsidRDefault="00215ACA" w:rsidP="00215ACA">
            <w:pPr>
              <w:rPr>
                <w:rFonts w:asciiTheme="minorHAnsi" w:hAnsiTheme="minorHAnsi" w:cstheme="minorHAnsi"/>
                <w:sz w:val="22"/>
              </w:rPr>
            </w:pPr>
            <w:r w:rsidRPr="00215ACA">
              <w:rPr>
                <w:rFonts w:asciiTheme="minorHAnsi" w:hAnsiTheme="minorHAnsi" w:cstheme="minorHAnsi"/>
                <w:sz w:val="22"/>
              </w:rPr>
              <w:t xml:space="preserve">The aim of this </w:t>
            </w:r>
            <w:r>
              <w:rPr>
                <w:rFonts w:asciiTheme="minorHAnsi" w:hAnsiTheme="minorHAnsi" w:cstheme="minorHAnsi"/>
                <w:sz w:val="22"/>
              </w:rPr>
              <w:t xml:space="preserve">PhD </w:t>
            </w:r>
            <w:r w:rsidRPr="00215ACA">
              <w:rPr>
                <w:rFonts w:asciiTheme="minorHAnsi" w:hAnsiTheme="minorHAnsi" w:cstheme="minorHAnsi"/>
                <w:sz w:val="22"/>
              </w:rPr>
              <w:t xml:space="preserve">project </w:t>
            </w:r>
            <w:r>
              <w:rPr>
                <w:rFonts w:asciiTheme="minorHAnsi" w:hAnsiTheme="minorHAnsi" w:cstheme="minorHAnsi"/>
                <w:sz w:val="22"/>
              </w:rPr>
              <w:t>is</w:t>
            </w:r>
            <w:r w:rsidRPr="00215ACA">
              <w:rPr>
                <w:rFonts w:asciiTheme="minorHAnsi" w:hAnsiTheme="minorHAnsi" w:cstheme="minorHAnsi"/>
                <w:sz w:val="22"/>
              </w:rPr>
              <w:t xml:space="preserve"> to provide a detailed characterisation of the benefits of ultra-high field for magnetic resonance imaging and spectroscopy (MRI/S), along with a comprehensive evaluation of some of the challenges that operation at UHF poses and an exploration of the methods that could be used to meet these challenges. Particular areas of focus would include evaluation of the efficacy of standard coil arrangements for RF transmission and reception at 500 MHz in the head and body (by using electromagnetic simulations); characterisation of typical NMR relaxation times in tissue at 11.7 T, and use of this information to establish the gains in contrast-to-noise ratio and spatial resolution that could be achieved in a range of MRI/S experiments with optimised sequence parameters at 11.7 T in the brain and body; characterisation</w:t>
            </w:r>
            <w:r>
              <w:rPr>
                <w:rFonts w:asciiTheme="minorHAnsi" w:hAnsiTheme="minorHAnsi" w:cstheme="minorHAnsi"/>
                <w:sz w:val="22"/>
              </w:rPr>
              <w:t xml:space="preserve"> </w:t>
            </w:r>
            <w:r w:rsidRPr="00215ACA">
              <w:rPr>
                <w:rFonts w:asciiTheme="minorHAnsi" w:hAnsiTheme="minorHAnsi" w:cstheme="minorHAnsi"/>
                <w:sz w:val="22"/>
              </w:rPr>
              <w:t xml:space="preserve">of the effect of gradient (slew rate and peak gradient </w:t>
            </w:r>
            <w:r w:rsidRPr="00215ACA">
              <w:rPr>
                <w:rFonts w:asciiTheme="minorHAnsi" w:hAnsiTheme="minorHAnsi" w:cstheme="minorHAnsi"/>
                <w:sz w:val="22"/>
              </w:rPr>
              <w:lastRenderedPageBreak/>
              <w:t>strength) and RF hardware (number and configuration of transmit and receive coils) on the achievable performance. This will involve implementation of electromagnetic simulations, application of magnetic resonance theory, experimental measurements that will be carried out in collaboration with other ultra-high field sites internationally, and interaction with the clinicians, neuroscientists and physicists</w:t>
            </w:r>
            <w:r>
              <w:rPr>
                <w:rFonts w:asciiTheme="minorHAnsi" w:hAnsiTheme="minorHAnsi" w:cstheme="minorHAnsi"/>
                <w:sz w:val="22"/>
              </w:rPr>
              <w:t>,</w:t>
            </w:r>
            <w:r w:rsidRPr="00215ACA">
              <w:rPr>
                <w:rFonts w:asciiTheme="minorHAnsi" w:hAnsiTheme="minorHAnsi" w:cstheme="minorHAnsi"/>
                <w:sz w:val="22"/>
              </w:rPr>
              <w:t xml:space="preserve"> who are the po</w:t>
            </w:r>
            <w:r>
              <w:rPr>
                <w:rFonts w:asciiTheme="minorHAnsi" w:hAnsiTheme="minorHAnsi" w:cstheme="minorHAnsi"/>
                <w:sz w:val="22"/>
              </w:rPr>
              <w:t xml:space="preserve">tential users of an UHF scanner, as well as with the potential magnet and scanner manufacturers. </w:t>
            </w:r>
          </w:p>
          <w:p w:rsidR="00B803DC" w:rsidRPr="004E435C" w:rsidRDefault="00B803DC" w:rsidP="00B803DC">
            <w:pPr>
              <w:rPr>
                <w:rFonts w:asciiTheme="minorHAnsi" w:hAnsiTheme="minorHAnsi" w:cstheme="minorHAnsi"/>
                <w:sz w:val="22"/>
              </w:rPr>
            </w:pPr>
          </w:p>
        </w:tc>
      </w:tr>
      <w:tr w:rsidR="00B803DC" w:rsidTr="00BE1754">
        <w:tc>
          <w:tcPr>
            <w:tcW w:w="2503" w:type="dxa"/>
          </w:tcPr>
          <w:p w:rsidR="00B803DC" w:rsidRDefault="00B803DC" w:rsidP="00B803D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lastRenderedPageBreak/>
              <w:t>Graphic for Advertising</w:t>
            </w:r>
          </w:p>
          <w:p w:rsidR="00B803DC" w:rsidRPr="004E435C" w:rsidRDefault="00B803DC" w:rsidP="00B803D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(Must be high resolution)</w:t>
            </w:r>
          </w:p>
        </w:tc>
        <w:tc>
          <w:tcPr>
            <w:tcW w:w="6513" w:type="dxa"/>
            <w:gridSpan w:val="3"/>
          </w:tcPr>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215ACA" w:rsidP="00B803DC">
            <w:pPr>
              <w:jc w:val="center"/>
              <w:rPr>
                <w:rFonts w:asciiTheme="minorHAnsi" w:hAnsiTheme="minorHAnsi" w:cstheme="minorHAnsi"/>
                <w:sz w:val="22"/>
              </w:rPr>
            </w:pPr>
            <w:r>
              <w:rPr>
                <w:noProof/>
              </w:rPr>
              <w:drawing>
                <wp:inline distT="0" distB="0" distL="0" distR="0" wp14:anchorId="69C045CC" wp14:editId="369ECFB8">
                  <wp:extent cx="4237567" cy="242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7560" cy="2432488"/>
                          </a:xfrm>
                          <a:prstGeom prst="rect">
                            <a:avLst/>
                          </a:prstGeom>
                        </pic:spPr>
                      </pic:pic>
                    </a:graphicData>
                  </a:graphic>
                </wp:inline>
              </w:drawing>
            </w: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bookmarkStart w:id="0" w:name="_GoBack"/>
            <w:bookmarkEnd w:id="0"/>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Default="00B803DC" w:rsidP="00B803DC">
            <w:pPr>
              <w:jc w:val="center"/>
              <w:rPr>
                <w:rFonts w:asciiTheme="minorHAnsi" w:hAnsiTheme="minorHAnsi" w:cstheme="minorHAnsi"/>
                <w:sz w:val="22"/>
              </w:rPr>
            </w:pPr>
          </w:p>
          <w:p w:rsidR="00B803DC" w:rsidRPr="004E435C" w:rsidRDefault="00B803DC" w:rsidP="00B803DC">
            <w:pPr>
              <w:jc w:val="center"/>
              <w:rPr>
                <w:rFonts w:asciiTheme="minorHAnsi" w:hAnsiTheme="minorHAnsi" w:cstheme="minorHAnsi"/>
                <w:sz w:val="22"/>
              </w:rPr>
            </w:pPr>
          </w:p>
        </w:tc>
      </w:tr>
    </w:tbl>
    <w:p w:rsidR="004E435C" w:rsidRPr="004E435C" w:rsidRDefault="004E435C" w:rsidP="004E435C">
      <w:pPr>
        <w:jc w:val="center"/>
        <w:rPr>
          <w:rFonts w:asciiTheme="majorHAnsi" w:hAnsiTheme="majorHAnsi" w:cstheme="majorHAnsi"/>
          <w:b/>
          <w:color w:val="1F4E79" w:themeColor="accent1" w:themeShade="80"/>
          <w:sz w:val="24"/>
          <w:szCs w:val="24"/>
          <w:u w:val="single"/>
        </w:rPr>
      </w:pPr>
    </w:p>
    <w:sectPr w:rsidR="004E435C" w:rsidRPr="004E43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F7" w:rsidRDefault="00AE0BF7" w:rsidP="00315251">
      <w:pPr>
        <w:spacing w:after="0" w:line="240" w:lineRule="auto"/>
      </w:pPr>
      <w:r>
        <w:separator/>
      </w:r>
    </w:p>
  </w:endnote>
  <w:endnote w:type="continuationSeparator" w:id="0">
    <w:p w:rsidR="00AE0BF7" w:rsidRDefault="00AE0BF7" w:rsidP="0031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F7" w:rsidRDefault="00AE0BF7" w:rsidP="00315251">
      <w:pPr>
        <w:spacing w:after="0" w:line="240" w:lineRule="auto"/>
      </w:pPr>
      <w:r>
        <w:separator/>
      </w:r>
    </w:p>
  </w:footnote>
  <w:footnote w:type="continuationSeparator" w:id="0">
    <w:p w:rsidR="00AE0BF7" w:rsidRDefault="00AE0BF7" w:rsidP="0031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51" w:rsidRDefault="00315251" w:rsidP="00315251">
    <w:pPr>
      <w:widowControl w:val="0"/>
      <w:tabs>
        <w:tab w:val="left" w:pos="7200"/>
        <w:tab w:val="right" w:pos="7230"/>
      </w:tabs>
      <w:autoSpaceDE w:val="0"/>
      <w:autoSpaceDN w:val="0"/>
      <w:adjustRightInd w:val="0"/>
      <w:spacing w:after="0" w:line="276" w:lineRule="auto"/>
      <w:ind w:left="6521"/>
      <w:jc w:val="right"/>
      <w:rPr>
        <w:rFonts w:ascii="Arial" w:eastAsia="MS Mincho" w:hAnsi="Arial" w:cs="Times New Roman"/>
        <w:b/>
        <w:color w:val="003466"/>
        <w:sz w:val="24"/>
        <w:szCs w:val="24"/>
        <w:lang w:val="en-US"/>
      </w:rPr>
    </w:pPr>
  </w:p>
  <w:p w:rsidR="00315251" w:rsidRPr="00315251" w:rsidRDefault="00315251" w:rsidP="00315251">
    <w:pPr>
      <w:widowControl w:val="0"/>
      <w:tabs>
        <w:tab w:val="left" w:pos="7200"/>
        <w:tab w:val="right" w:pos="7230"/>
      </w:tabs>
      <w:autoSpaceDE w:val="0"/>
      <w:autoSpaceDN w:val="0"/>
      <w:adjustRightInd w:val="0"/>
      <w:spacing w:after="0" w:line="276" w:lineRule="auto"/>
      <w:ind w:left="6521"/>
      <w:jc w:val="right"/>
      <w:rPr>
        <w:rFonts w:ascii="Arial" w:eastAsia="MS Mincho" w:hAnsi="Arial" w:cs="Times New Roman"/>
        <w:b/>
        <w:color w:val="003466"/>
        <w:sz w:val="24"/>
        <w:szCs w:val="24"/>
        <w:lang w:val="en-US"/>
      </w:rPr>
    </w:pPr>
    <w:r w:rsidRPr="00315251">
      <w:rPr>
        <w:rFonts w:ascii="Cambria" w:eastAsia="MS Mincho" w:hAnsi="Cambria" w:cs="Times New Roman"/>
        <w:noProof/>
        <w:sz w:val="24"/>
        <w:szCs w:val="24"/>
        <w:lang w:eastAsia="en-GB"/>
      </w:rPr>
      <w:drawing>
        <wp:anchor distT="0" distB="0" distL="114300" distR="114300" simplePos="0" relativeHeight="251659264" behindDoc="0" locked="0" layoutInCell="1" allowOverlap="1" wp14:anchorId="783CAFDC" wp14:editId="4B337578">
          <wp:simplePos x="0" y="0"/>
          <wp:positionH relativeFrom="margin">
            <wp:align>right</wp:align>
          </wp:positionH>
          <wp:positionV relativeFrom="page">
            <wp:posOffset>397510</wp:posOffset>
          </wp:positionV>
          <wp:extent cx="2159000" cy="797560"/>
          <wp:effectExtent l="0" t="0" r="0" b="254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r w:rsidRPr="00315251">
      <w:rPr>
        <w:rFonts w:ascii="Arial" w:eastAsia="MS Mincho" w:hAnsi="Arial" w:cs="Times New Roman"/>
        <w:b/>
        <w:color w:val="003466"/>
        <w:sz w:val="24"/>
        <w:szCs w:val="24"/>
        <w:lang w:val="en-US"/>
      </w:rPr>
      <w:t>Precision Imaging Beacon of Excellence</w:t>
    </w:r>
  </w:p>
  <w:p w:rsidR="00315251" w:rsidRDefault="00315251" w:rsidP="0031525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5C"/>
    <w:rsid w:val="00063722"/>
    <w:rsid w:val="000B2F6C"/>
    <w:rsid w:val="00132ABC"/>
    <w:rsid w:val="001967B4"/>
    <w:rsid w:val="00215ACA"/>
    <w:rsid w:val="00237252"/>
    <w:rsid w:val="002C0F8D"/>
    <w:rsid w:val="00315251"/>
    <w:rsid w:val="00334069"/>
    <w:rsid w:val="003A5207"/>
    <w:rsid w:val="004E435C"/>
    <w:rsid w:val="005D565C"/>
    <w:rsid w:val="00705A6A"/>
    <w:rsid w:val="0074105A"/>
    <w:rsid w:val="00820065"/>
    <w:rsid w:val="00863E2F"/>
    <w:rsid w:val="008846D6"/>
    <w:rsid w:val="00AE0BF7"/>
    <w:rsid w:val="00B60166"/>
    <w:rsid w:val="00B803DC"/>
    <w:rsid w:val="00BA4A05"/>
    <w:rsid w:val="00BB3192"/>
    <w:rsid w:val="00BB58AF"/>
    <w:rsid w:val="00BE1754"/>
    <w:rsid w:val="00C70C15"/>
    <w:rsid w:val="00CB56FE"/>
    <w:rsid w:val="00CB76BB"/>
    <w:rsid w:val="00D37CCB"/>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62C1"/>
  <w15:chartTrackingRefBased/>
  <w15:docId w15:val="{391B88C6-CCB7-4AD0-A501-26BEFCDE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5C"/>
    <w:rPr>
      <w:rFonts w:ascii="Segoe UI" w:hAnsi="Segoe UI" w:cs="Segoe UI"/>
      <w:sz w:val="18"/>
      <w:szCs w:val="18"/>
    </w:rPr>
  </w:style>
  <w:style w:type="table" w:styleId="TableGrid">
    <w:name w:val="Table Grid"/>
    <w:basedOn w:val="TableNormal"/>
    <w:uiPriority w:val="39"/>
    <w:rsid w:val="004E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E435C"/>
  </w:style>
  <w:style w:type="paragraph" w:styleId="Header">
    <w:name w:val="header"/>
    <w:basedOn w:val="Normal"/>
    <w:link w:val="HeaderChar"/>
    <w:uiPriority w:val="99"/>
    <w:unhideWhenUsed/>
    <w:rsid w:val="0031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251"/>
    <w:rPr>
      <w:rFonts w:ascii="Verdana" w:hAnsi="Verdana"/>
      <w:sz w:val="20"/>
    </w:rPr>
  </w:style>
  <w:style w:type="paragraph" w:styleId="Footer">
    <w:name w:val="footer"/>
    <w:basedOn w:val="Normal"/>
    <w:link w:val="FooterChar"/>
    <w:uiPriority w:val="99"/>
    <w:unhideWhenUsed/>
    <w:rsid w:val="0031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25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03012">
      <w:bodyDiv w:val="1"/>
      <w:marLeft w:val="0"/>
      <w:marRight w:val="0"/>
      <w:marTop w:val="0"/>
      <w:marBottom w:val="0"/>
      <w:divBdr>
        <w:top w:val="none" w:sz="0" w:space="0" w:color="auto"/>
        <w:left w:val="none" w:sz="0" w:space="0" w:color="auto"/>
        <w:bottom w:val="none" w:sz="0" w:space="0" w:color="auto"/>
        <w:right w:val="none" w:sz="0" w:space="0" w:color="auto"/>
      </w:divBdr>
    </w:div>
    <w:div w:id="17052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FD8DFF5E72484A8BFE7C212D11AA25" ma:contentTypeVersion="2" ma:contentTypeDescription="Create a new document." ma:contentTypeScope="" ma:versionID="20faeacbd36af85b5825aad0d6dcec2c">
  <xsd:schema xmlns:xsd="http://www.w3.org/2001/XMLSchema" xmlns:xs="http://www.w3.org/2001/XMLSchema" xmlns:p="http://schemas.microsoft.com/office/2006/metadata/properties" xmlns:ns2="4ecdaa81-240f-42f2-b0b8-1ae776223265" targetNamespace="http://schemas.microsoft.com/office/2006/metadata/properties" ma:root="true" ma:fieldsID="3c8ab1886665985719726f8912eb930d" ns2:_="">
    <xsd:import namespace="4ecdaa81-240f-42f2-b0b8-1ae7762232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aa81-240f-42f2-b0b8-1ae776223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5DBDF-6BC3-4A77-9BDE-5AC0FF9CE487}">
  <ds:schemaRefs>
    <ds:schemaRef ds:uri="http://schemas.openxmlformats.org/officeDocument/2006/bibliography"/>
  </ds:schemaRefs>
</ds:datastoreItem>
</file>

<file path=customXml/itemProps2.xml><?xml version="1.0" encoding="utf-8"?>
<ds:datastoreItem xmlns:ds="http://schemas.openxmlformats.org/officeDocument/2006/customXml" ds:itemID="{2C08FE7D-E964-4260-8660-9BFB69CB2691}"/>
</file>

<file path=customXml/itemProps3.xml><?xml version="1.0" encoding="utf-8"?>
<ds:datastoreItem xmlns:ds="http://schemas.openxmlformats.org/officeDocument/2006/customXml" ds:itemID="{F0A6E95B-943A-4E84-B081-F37EF7CEFC2D}"/>
</file>

<file path=customXml/itemProps4.xml><?xml version="1.0" encoding="utf-8"?>
<ds:datastoreItem xmlns:ds="http://schemas.openxmlformats.org/officeDocument/2006/customXml" ds:itemID="{3A03FB2A-709C-4DA9-BD69-CEE26EB35BAD}"/>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Ruse</dc:creator>
  <cp:keywords/>
  <dc:description/>
  <cp:lastModifiedBy>Richard Bowtell</cp:lastModifiedBy>
  <cp:revision>2</cp:revision>
  <dcterms:created xsi:type="dcterms:W3CDTF">2018-11-14T16:21:00Z</dcterms:created>
  <dcterms:modified xsi:type="dcterms:W3CDTF">2018-11-14T16:21:00Z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0x010100A2FD8DFF5E72484A8BFE7C212D11AA25</vt:lpwstr>
  </property>
  <property fmtid="{D5CDD505-2E9C-101B-9397-08002B2CF9AE}" pid="3" name="Order">
    <vt:r8>25000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