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2B1E" w14:textId="77777777" w:rsidR="00FB3F55" w:rsidRPr="0032216F" w:rsidRDefault="00FB3F55" w:rsidP="00234588">
      <w:pPr>
        <w:spacing w:after="240" w:line="276" w:lineRule="auto"/>
        <w:rPr>
          <w:b/>
          <w:color w:val="005697"/>
          <w:szCs w:val="22"/>
        </w:rPr>
      </w:pPr>
    </w:p>
    <w:p w14:paraId="08F4C621" w14:textId="77777777" w:rsidR="00811693" w:rsidRDefault="00811693" w:rsidP="000F1A16">
      <w:pPr>
        <w:spacing w:after="240"/>
        <w:jc w:val="both"/>
        <w:rPr>
          <w:color w:val="004071"/>
          <w:sz w:val="32"/>
          <w:szCs w:val="32"/>
        </w:rPr>
      </w:pPr>
      <w:r w:rsidRPr="00811693">
        <w:rPr>
          <w:color w:val="004071"/>
          <w:sz w:val="32"/>
          <w:szCs w:val="32"/>
        </w:rPr>
        <w:t>Radiation Laboratory Decommissioning Record</w:t>
      </w:r>
    </w:p>
    <w:p w14:paraId="6973BA2D" w14:textId="4F37DAAF" w:rsidR="00840FF5" w:rsidRPr="00840FF5" w:rsidRDefault="00840FF5" w:rsidP="00840FF5">
      <w:pPr>
        <w:jc w:val="both"/>
        <w:rPr>
          <w:sz w:val="20"/>
          <w:szCs w:val="18"/>
        </w:rPr>
      </w:pPr>
      <w:r w:rsidRPr="00840FF5">
        <w:rPr>
          <w:sz w:val="20"/>
          <w:szCs w:val="18"/>
        </w:rPr>
        <w:t xml:space="preserve">Before vacating any premises or radioactive work areas, Department Heads must </w:t>
      </w:r>
      <w:r w:rsidRPr="0097701C">
        <w:rPr>
          <w:sz w:val="20"/>
          <w:szCs w:val="18"/>
        </w:rPr>
        <w:t>p</w:t>
      </w:r>
      <w:r w:rsidRPr="00840FF5">
        <w:rPr>
          <w:sz w:val="20"/>
          <w:szCs w:val="18"/>
        </w:rPr>
        <w:t>ut appropriate arrangements in place to ensure sufficient time and resources to properly decommission the space</w:t>
      </w:r>
      <w:r w:rsidRPr="0097701C">
        <w:rPr>
          <w:sz w:val="20"/>
          <w:szCs w:val="18"/>
        </w:rPr>
        <w:t>:</w:t>
      </w:r>
    </w:p>
    <w:p w14:paraId="17BA2CA9" w14:textId="77777777" w:rsidR="00840FF5" w:rsidRPr="00840FF5" w:rsidRDefault="00840FF5" w:rsidP="00840FF5">
      <w:pPr>
        <w:numPr>
          <w:ilvl w:val="0"/>
          <w:numId w:val="17"/>
        </w:numPr>
        <w:jc w:val="both"/>
        <w:rPr>
          <w:sz w:val="20"/>
          <w:szCs w:val="18"/>
        </w:rPr>
      </w:pPr>
      <w:r w:rsidRPr="00840FF5">
        <w:rPr>
          <w:sz w:val="20"/>
          <w:szCs w:val="18"/>
        </w:rPr>
        <w:t>Complete radiation decommissioning and survey all areas under their control to confirm:</w:t>
      </w:r>
    </w:p>
    <w:p w14:paraId="5C5020D7" w14:textId="77777777" w:rsidR="00840FF5" w:rsidRPr="00840FF5" w:rsidRDefault="00840FF5" w:rsidP="00840FF5">
      <w:pPr>
        <w:numPr>
          <w:ilvl w:val="1"/>
          <w:numId w:val="17"/>
        </w:numPr>
        <w:jc w:val="both"/>
        <w:rPr>
          <w:sz w:val="20"/>
          <w:szCs w:val="18"/>
        </w:rPr>
      </w:pPr>
      <w:r w:rsidRPr="00840FF5">
        <w:rPr>
          <w:sz w:val="20"/>
          <w:szCs w:val="18"/>
        </w:rPr>
        <w:t xml:space="preserve">The space is free of radiological </w:t>
      </w:r>
      <w:proofErr w:type="gramStart"/>
      <w:r w:rsidRPr="00840FF5">
        <w:rPr>
          <w:sz w:val="20"/>
          <w:szCs w:val="18"/>
        </w:rPr>
        <w:t>hazards</w:t>
      </w:r>
      <w:proofErr w:type="gramEnd"/>
    </w:p>
    <w:p w14:paraId="0908C2F5" w14:textId="77777777" w:rsidR="00840FF5" w:rsidRPr="00840FF5" w:rsidRDefault="00840FF5" w:rsidP="00840FF5">
      <w:pPr>
        <w:numPr>
          <w:ilvl w:val="1"/>
          <w:numId w:val="17"/>
        </w:numPr>
        <w:jc w:val="both"/>
        <w:rPr>
          <w:sz w:val="20"/>
          <w:szCs w:val="18"/>
        </w:rPr>
      </w:pPr>
      <w:r w:rsidRPr="00840FF5">
        <w:rPr>
          <w:sz w:val="20"/>
          <w:szCs w:val="18"/>
        </w:rPr>
        <w:t>The space is fit for others to safely occupy and work in</w:t>
      </w:r>
    </w:p>
    <w:p w14:paraId="302BE53B" w14:textId="77777777" w:rsidR="00840FF5" w:rsidRPr="00840FF5" w:rsidRDefault="00840FF5" w:rsidP="00840FF5">
      <w:pPr>
        <w:numPr>
          <w:ilvl w:val="0"/>
          <w:numId w:val="17"/>
        </w:numPr>
        <w:jc w:val="both"/>
        <w:rPr>
          <w:sz w:val="20"/>
          <w:szCs w:val="18"/>
        </w:rPr>
      </w:pPr>
      <w:r w:rsidRPr="00840FF5">
        <w:rPr>
          <w:sz w:val="20"/>
          <w:szCs w:val="18"/>
        </w:rPr>
        <w:t>Fill out this Radiation Laboratory Decommissioning Record form fully.</w:t>
      </w:r>
    </w:p>
    <w:p w14:paraId="1F05D311" w14:textId="77777777" w:rsidR="00840FF5" w:rsidRPr="00840FF5" w:rsidRDefault="00840FF5" w:rsidP="00840FF5">
      <w:pPr>
        <w:numPr>
          <w:ilvl w:val="0"/>
          <w:numId w:val="17"/>
        </w:numPr>
        <w:jc w:val="both"/>
        <w:rPr>
          <w:sz w:val="20"/>
          <w:szCs w:val="18"/>
        </w:rPr>
      </w:pPr>
      <w:r w:rsidRPr="00840FF5">
        <w:rPr>
          <w:sz w:val="20"/>
          <w:szCs w:val="18"/>
        </w:rPr>
        <w:t>Submit the completed form to the Health and Safety Department for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58"/>
      </w:tblGrid>
      <w:tr w:rsidR="00B43B29" w14:paraId="15200FFB" w14:textId="77777777" w:rsidTr="00840FF5">
        <w:trPr>
          <w:trHeight w:val="2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6690712" w14:textId="378DECB5" w:rsidR="00B43B29" w:rsidRPr="00840FF5" w:rsidRDefault="009C7A6F" w:rsidP="00840FF5">
            <w:r w:rsidRPr="00840FF5">
              <w:t>Author:</w:t>
            </w:r>
          </w:p>
        </w:tc>
        <w:tc>
          <w:tcPr>
            <w:tcW w:w="6758" w:type="dxa"/>
          </w:tcPr>
          <w:p w14:paraId="5640F5BC" w14:textId="77777777" w:rsidR="00B43B29" w:rsidRDefault="00B43B29" w:rsidP="00626E44">
            <w:pPr>
              <w:jc w:val="both"/>
            </w:pPr>
          </w:p>
        </w:tc>
      </w:tr>
      <w:tr w:rsidR="00B43B29" w14:paraId="5066AF36" w14:textId="77777777" w:rsidTr="00840FF5">
        <w:trPr>
          <w:trHeight w:val="2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A11CC21" w14:textId="2F02D028" w:rsidR="00B43B29" w:rsidRPr="00840FF5" w:rsidRDefault="003B1787" w:rsidP="00840FF5">
            <w:r w:rsidRPr="00840FF5">
              <w:t>Role</w:t>
            </w:r>
            <w:r w:rsidR="009C7A6F" w:rsidRPr="00840FF5">
              <w:t>:</w:t>
            </w:r>
          </w:p>
        </w:tc>
        <w:tc>
          <w:tcPr>
            <w:tcW w:w="6758" w:type="dxa"/>
          </w:tcPr>
          <w:p w14:paraId="67D0CD73" w14:textId="77777777" w:rsidR="00B43B29" w:rsidRDefault="00B43B29" w:rsidP="00626E44">
            <w:pPr>
              <w:jc w:val="both"/>
            </w:pPr>
          </w:p>
        </w:tc>
      </w:tr>
      <w:tr w:rsidR="00B43B29" w14:paraId="167FBCE4" w14:textId="77777777" w:rsidTr="00840FF5">
        <w:trPr>
          <w:trHeight w:val="2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5C7CD1" w14:textId="16B4E4EE" w:rsidR="00B43B29" w:rsidRPr="00840FF5" w:rsidRDefault="002667A3" w:rsidP="00840FF5">
            <w:r w:rsidRPr="00840FF5">
              <w:t>School / Business Unit</w:t>
            </w:r>
            <w:r w:rsidR="009C7A6F" w:rsidRPr="00840FF5">
              <w:t>:</w:t>
            </w:r>
          </w:p>
        </w:tc>
        <w:tc>
          <w:tcPr>
            <w:tcW w:w="6758" w:type="dxa"/>
          </w:tcPr>
          <w:p w14:paraId="0D2D1B5F" w14:textId="77777777" w:rsidR="00B43B29" w:rsidRDefault="00B43B29" w:rsidP="00626E44">
            <w:pPr>
              <w:jc w:val="both"/>
            </w:pPr>
          </w:p>
        </w:tc>
      </w:tr>
      <w:tr w:rsidR="00B43B29" w14:paraId="7E0FD8DC" w14:textId="77777777" w:rsidTr="00840FF5">
        <w:trPr>
          <w:trHeight w:val="2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D7E4534" w14:textId="34BF2E0B" w:rsidR="00B43B29" w:rsidRPr="00840FF5" w:rsidRDefault="00A374BB" w:rsidP="00840FF5">
            <w:r w:rsidRPr="00840FF5">
              <w:t xml:space="preserve">Building and </w:t>
            </w:r>
            <w:r w:rsidR="006E6FBE" w:rsidRPr="00840FF5">
              <w:t>room number</w:t>
            </w:r>
            <w:r w:rsidR="009C7A6F" w:rsidRPr="00840FF5">
              <w:t>:</w:t>
            </w:r>
          </w:p>
        </w:tc>
        <w:tc>
          <w:tcPr>
            <w:tcW w:w="6758" w:type="dxa"/>
          </w:tcPr>
          <w:p w14:paraId="3031B595" w14:textId="77777777" w:rsidR="00B43B29" w:rsidRDefault="00B43B29" w:rsidP="00626E44">
            <w:pPr>
              <w:jc w:val="both"/>
            </w:pPr>
          </w:p>
        </w:tc>
      </w:tr>
      <w:tr w:rsidR="00B43B29" w14:paraId="08A91A81" w14:textId="77777777" w:rsidTr="00840FF5">
        <w:trPr>
          <w:trHeight w:val="2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0FF77EB" w14:textId="25561C96" w:rsidR="00B43B29" w:rsidRPr="00840FF5" w:rsidRDefault="00460FD5" w:rsidP="00840FF5">
            <w:r w:rsidRPr="00840FF5">
              <w:t>Description of area</w:t>
            </w:r>
            <w:r w:rsidR="009C7A6F" w:rsidRPr="00840FF5">
              <w:t>:</w:t>
            </w:r>
          </w:p>
        </w:tc>
        <w:tc>
          <w:tcPr>
            <w:tcW w:w="6758" w:type="dxa"/>
          </w:tcPr>
          <w:p w14:paraId="23A83FED" w14:textId="77777777" w:rsidR="00B43B29" w:rsidRDefault="00B43B29" w:rsidP="00626E44">
            <w:pPr>
              <w:jc w:val="both"/>
            </w:pPr>
          </w:p>
        </w:tc>
      </w:tr>
      <w:tr w:rsidR="00B43B29" w14:paraId="661A4844" w14:textId="77777777" w:rsidTr="00840FF5">
        <w:trPr>
          <w:trHeight w:val="2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A6A6B34" w14:textId="73936FFE" w:rsidR="00B43B29" w:rsidRPr="00840FF5" w:rsidRDefault="00B31CCC" w:rsidP="00840FF5">
            <w:r w:rsidRPr="00840FF5">
              <w:t>Date of report</w:t>
            </w:r>
            <w:r w:rsidR="009C7A6F" w:rsidRPr="00840FF5">
              <w:t>:</w:t>
            </w:r>
          </w:p>
        </w:tc>
        <w:tc>
          <w:tcPr>
            <w:tcW w:w="6758" w:type="dxa"/>
          </w:tcPr>
          <w:p w14:paraId="3F9F8767" w14:textId="77777777" w:rsidR="00B43B29" w:rsidRDefault="00B43B29" w:rsidP="00626E44">
            <w:pPr>
              <w:jc w:val="both"/>
            </w:pPr>
          </w:p>
        </w:tc>
      </w:tr>
      <w:tr w:rsidR="00B43B29" w14:paraId="61385072" w14:textId="77777777" w:rsidTr="00840FF5">
        <w:trPr>
          <w:trHeight w:val="2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9534E58" w14:textId="7A3C6ABE" w:rsidR="00B43B29" w:rsidRPr="00840FF5" w:rsidRDefault="00626E44" w:rsidP="00840FF5">
            <w:r w:rsidRPr="00840FF5">
              <w:t>Purpose of clearance</w:t>
            </w:r>
            <w:r w:rsidR="009C7A6F" w:rsidRPr="00840FF5">
              <w:t>:</w:t>
            </w:r>
          </w:p>
        </w:tc>
        <w:tc>
          <w:tcPr>
            <w:tcW w:w="6758" w:type="dxa"/>
          </w:tcPr>
          <w:p w14:paraId="2BF14031" w14:textId="77777777" w:rsidR="00B43B29" w:rsidRDefault="00B43B29" w:rsidP="00626E44">
            <w:pPr>
              <w:jc w:val="both"/>
            </w:pPr>
          </w:p>
        </w:tc>
      </w:tr>
    </w:tbl>
    <w:p w14:paraId="0DFB1627" w14:textId="2E6A2BD1" w:rsidR="00415B3D" w:rsidRDefault="00415B3D" w:rsidP="002134FC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90"/>
        <w:gridCol w:w="416"/>
        <w:gridCol w:w="1024"/>
        <w:gridCol w:w="284"/>
        <w:gridCol w:w="425"/>
        <w:gridCol w:w="1701"/>
        <w:gridCol w:w="425"/>
        <w:gridCol w:w="1648"/>
        <w:gridCol w:w="416"/>
        <w:gridCol w:w="346"/>
        <w:gridCol w:w="1239"/>
        <w:gridCol w:w="416"/>
      </w:tblGrid>
      <w:tr w:rsidR="005357EE" w14:paraId="39E6FE89" w14:textId="77777777" w:rsidTr="002134FC">
        <w:tc>
          <w:tcPr>
            <w:tcW w:w="9730" w:type="dxa"/>
            <w:gridSpan w:val="12"/>
            <w:shd w:val="clear" w:color="auto" w:fill="DEEAF6" w:themeFill="accent1" w:themeFillTint="33"/>
            <w:vAlign w:val="center"/>
          </w:tcPr>
          <w:p w14:paraId="1DB81414" w14:textId="2402ED79" w:rsidR="005357EE" w:rsidRPr="00516541" w:rsidRDefault="005357EE" w:rsidP="003639E2">
            <w:pPr>
              <w:rPr>
                <w:b/>
                <w:bCs/>
              </w:rPr>
            </w:pPr>
            <w:r w:rsidRPr="00516541">
              <w:rPr>
                <w:b/>
                <w:bCs/>
                <w:color w:val="002060"/>
              </w:rPr>
              <w:t>Section (A) History of Radiation Use</w:t>
            </w:r>
            <w:r w:rsidR="0079114E" w:rsidRPr="00516541">
              <w:rPr>
                <w:b/>
                <w:bCs/>
                <w:color w:val="002060"/>
              </w:rPr>
              <w:t xml:space="preserve"> in Laboratory</w:t>
            </w:r>
            <w:r w:rsidR="00457632" w:rsidRPr="00516541">
              <w:rPr>
                <w:b/>
                <w:bCs/>
                <w:color w:val="002060"/>
              </w:rPr>
              <w:t xml:space="preserve"> and Survey Strategy</w:t>
            </w:r>
          </w:p>
        </w:tc>
      </w:tr>
      <w:tr w:rsidR="006508A8" w14:paraId="184BE112" w14:textId="77777777" w:rsidTr="00A3046D">
        <w:tc>
          <w:tcPr>
            <w:tcW w:w="9730" w:type="dxa"/>
            <w:gridSpan w:val="12"/>
            <w:shd w:val="clear" w:color="auto" w:fill="DEEAF6" w:themeFill="accent1" w:themeFillTint="33"/>
            <w:vAlign w:val="center"/>
          </w:tcPr>
          <w:p w14:paraId="60578310" w14:textId="1D25638D" w:rsidR="006508A8" w:rsidRDefault="006508A8" w:rsidP="003639E2">
            <w:r>
              <w:t>Radionuclides</w:t>
            </w:r>
            <w:r w:rsidR="0032198A">
              <w:t xml:space="preserve"> known / suspected</w:t>
            </w:r>
            <w:r w:rsidR="00215913">
              <w:t xml:space="preserve"> to have been used</w:t>
            </w:r>
          </w:p>
        </w:tc>
      </w:tr>
      <w:tr w:rsidR="00EB5881" w14:paraId="16AA0407" w14:textId="3BE1C5C6" w:rsidTr="002134FC">
        <w:tc>
          <w:tcPr>
            <w:tcW w:w="1390" w:type="dxa"/>
            <w:vAlign w:val="center"/>
          </w:tcPr>
          <w:p w14:paraId="3206245D" w14:textId="5E6525DD" w:rsidR="00EB5881" w:rsidRPr="00EB5881" w:rsidRDefault="00EB5881" w:rsidP="003639E2">
            <w:pPr>
              <w:rPr>
                <w:sz w:val="20"/>
              </w:rPr>
            </w:pPr>
            <w:r w:rsidRPr="00EB5881">
              <w:rPr>
                <w:sz w:val="20"/>
              </w:rPr>
              <w:t>Tritium</w:t>
            </w:r>
          </w:p>
        </w:tc>
        <w:sdt>
          <w:sdtPr>
            <w:rPr>
              <w:sz w:val="20"/>
            </w:rPr>
            <w:id w:val="-191036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3D22CA5" w14:textId="294A0F1F" w:rsidR="00EB5881" w:rsidRPr="00EB5881" w:rsidRDefault="00EB5881" w:rsidP="003639E2">
                <w:pPr>
                  <w:rPr>
                    <w:sz w:val="20"/>
                  </w:rPr>
                </w:pPr>
                <w:r w:rsidRPr="00EB58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308" w:type="dxa"/>
            <w:gridSpan w:val="2"/>
            <w:vAlign w:val="center"/>
          </w:tcPr>
          <w:p w14:paraId="30ADDFCC" w14:textId="2D35CBA4" w:rsidR="00EB5881" w:rsidRPr="00EB5881" w:rsidRDefault="00EB5881" w:rsidP="003639E2">
            <w:pPr>
              <w:rPr>
                <w:sz w:val="20"/>
              </w:rPr>
            </w:pPr>
            <w:r w:rsidRPr="00EB5881">
              <w:rPr>
                <w:sz w:val="20"/>
              </w:rPr>
              <w:t>Carbon 14</w:t>
            </w:r>
          </w:p>
        </w:tc>
        <w:sdt>
          <w:sdtPr>
            <w:rPr>
              <w:sz w:val="20"/>
            </w:rPr>
            <w:id w:val="123127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9A2372B" w14:textId="506AAB41" w:rsidR="00EB5881" w:rsidRPr="00EB5881" w:rsidRDefault="00EB5881" w:rsidP="003639E2">
                <w:pPr>
                  <w:rPr>
                    <w:sz w:val="20"/>
                  </w:rPr>
                </w:pPr>
                <w:r w:rsidRPr="00EB58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96F710D" w14:textId="7C3C8AB5" w:rsidR="00EB5881" w:rsidRPr="00EB5881" w:rsidRDefault="00EB5881" w:rsidP="003639E2">
            <w:pPr>
              <w:rPr>
                <w:sz w:val="20"/>
              </w:rPr>
            </w:pPr>
            <w:r w:rsidRPr="00EB5881">
              <w:rPr>
                <w:sz w:val="20"/>
              </w:rPr>
              <w:t>Phosphorus 32</w:t>
            </w:r>
          </w:p>
        </w:tc>
        <w:sdt>
          <w:sdtPr>
            <w:rPr>
              <w:sz w:val="20"/>
            </w:rPr>
            <w:id w:val="-192949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C28C7BF" w14:textId="452A86F2" w:rsidR="00EB5881" w:rsidRPr="00EB5881" w:rsidRDefault="00EB5881" w:rsidP="003639E2">
                <w:pPr>
                  <w:rPr>
                    <w:sz w:val="20"/>
                  </w:rPr>
                </w:pPr>
                <w:r w:rsidRPr="00EB58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48" w:type="dxa"/>
            <w:vAlign w:val="center"/>
          </w:tcPr>
          <w:p w14:paraId="6350AE54" w14:textId="04F87EE5" w:rsidR="00EB5881" w:rsidRPr="00EB5881" w:rsidRDefault="00EB5881" w:rsidP="003639E2">
            <w:pPr>
              <w:rPr>
                <w:sz w:val="20"/>
              </w:rPr>
            </w:pPr>
            <w:r w:rsidRPr="00EB5881">
              <w:rPr>
                <w:sz w:val="20"/>
              </w:rPr>
              <w:t>Phosphorus 33</w:t>
            </w:r>
          </w:p>
        </w:tc>
        <w:sdt>
          <w:sdtPr>
            <w:rPr>
              <w:sz w:val="20"/>
            </w:rPr>
            <w:id w:val="-169214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2FECB6F" w14:textId="3C01C830" w:rsidR="00EB5881" w:rsidRPr="00EB5881" w:rsidRDefault="00EB5881" w:rsidP="003639E2">
                <w:pPr>
                  <w:rPr>
                    <w:sz w:val="20"/>
                  </w:rPr>
                </w:pPr>
                <w:r w:rsidRPr="00EB58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85" w:type="dxa"/>
            <w:gridSpan w:val="2"/>
            <w:vAlign w:val="center"/>
          </w:tcPr>
          <w:p w14:paraId="293CA59B" w14:textId="20608C9B" w:rsidR="00EB5881" w:rsidRPr="00EB5881" w:rsidRDefault="00EB5881" w:rsidP="003639E2">
            <w:pPr>
              <w:rPr>
                <w:sz w:val="20"/>
              </w:rPr>
            </w:pPr>
            <w:r w:rsidRPr="00EB5881">
              <w:rPr>
                <w:sz w:val="20"/>
              </w:rPr>
              <w:t>Iodine 125</w:t>
            </w:r>
          </w:p>
        </w:tc>
        <w:sdt>
          <w:sdtPr>
            <w:rPr>
              <w:sz w:val="20"/>
            </w:rPr>
            <w:id w:val="35068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5F6D1DA9" w14:textId="1389AE55" w:rsidR="00EB5881" w:rsidRPr="00EB5881" w:rsidRDefault="00EB5881" w:rsidP="003639E2">
                <w:pPr>
                  <w:rPr>
                    <w:sz w:val="20"/>
                  </w:rPr>
                </w:pPr>
                <w:r w:rsidRPr="00EB58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840FF5" w14:paraId="452326B7" w14:textId="77777777" w:rsidTr="00840FF5">
        <w:tc>
          <w:tcPr>
            <w:tcW w:w="3114" w:type="dxa"/>
            <w:gridSpan w:val="4"/>
            <w:vAlign w:val="center"/>
          </w:tcPr>
          <w:p w14:paraId="1369366B" w14:textId="29DADDF6" w:rsidR="00840FF5" w:rsidRPr="00EB5881" w:rsidRDefault="00840FF5" w:rsidP="003639E2">
            <w:pPr>
              <w:rPr>
                <w:sz w:val="20"/>
              </w:rPr>
            </w:pPr>
            <w:r w:rsidRPr="00EB5881">
              <w:rPr>
                <w:sz w:val="20"/>
              </w:rPr>
              <w:t>Other</w:t>
            </w:r>
            <w:r>
              <w:rPr>
                <w:sz w:val="20"/>
              </w:rPr>
              <w:t xml:space="preserve"> (Please provide details)</w:t>
            </w:r>
          </w:p>
        </w:tc>
        <w:sdt>
          <w:sdtPr>
            <w:rPr>
              <w:sz w:val="20"/>
            </w:rPr>
            <w:id w:val="-204705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9FCAD1C" w14:textId="36108067" w:rsidR="00840FF5" w:rsidRPr="00EB5881" w:rsidRDefault="00840FF5" w:rsidP="003639E2">
                <w:pPr>
                  <w:rPr>
                    <w:sz w:val="20"/>
                  </w:rPr>
                </w:pPr>
                <w:r w:rsidRPr="00EB58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191" w:type="dxa"/>
            <w:gridSpan w:val="7"/>
            <w:vAlign w:val="center"/>
          </w:tcPr>
          <w:p w14:paraId="1C60B597" w14:textId="77777777" w:rsidR="00840FF5" w:rsidRPr="00EB5881" w:rsidRDefault="00840FF5" w:rsidP="003639E2">
            <w:pPr>
              <w:rPr>
                <w:sz w:val="20"/>
              </w:rPr>
            </w:pPr>
          </w:p>
        </w:tc>
      </w:tr>
      <w:tr w:rsidR="00E63E69" w14:paraId="4CD8A1A8" w14:textId="77777777" w:rsidTr="00A3046D">
        <w:tc>
          <w:tcPr>
            <w:tcW w:w="9730" w:type="dxa"/>
            <w:gridSpan w:val="12"/>
            <w:shd w:val="clear" w:color="auto" w:fill="DEEAF6" w:themeFill="accent1" w:themeFillTint="33"/>
            <w:vAlign w:val="center"/>
          </w:tcPr>
          <w:p w14:paraId="423A2CE2" w14:textId="6BCD1294" w:rsidR="00E63E69" w:rsidRDefault="00241D02" w:rsidP="003639E2">
            <w:r>
              <w:t>Details of radiation projects performed</w:t>
            </w:r>
            <w:r w:rsidR="00FE2AE2">
              <w:t>:</w:t>
            </w:r>
          </w:p>
        </w:tc>
      </w:tr>
      <w:tr w:rsidR="00E63E69" w14:paraId="779E4517" w14:textId="77777777" w:rsidTr="00840FF5">
        <w:trPr>
          <w:trHeight w:val="1423"/>
        </w:trPr>
        <w:tc>
          <w:tcPr>
            <w:tcW w:w="9730" w:type="dxa"/>
            <w:gridSpan w:val="12"/>
          </w:tcPr>
          <w:p w14:paraId="2375C1F3" w14:textId="1F4B993F" w:rsidR="00840FF5" w:rsidRPr="00A3046D" w:rsidRDefault="009C7A6F" w:rsidP="0023273A">
            <w:pPr>
              <w:rPr>
                <w:i/>
                <w:iCs/>
                <w:color w:val="767171" w:themeColor="background2" w:themeShade="80"/>
              </w:rPr>
            </w:pPr>
            <w:r w:rsidRPr="00A3046D">
              <w:rPr>
                <w:i/>
                <w:iCs/>
                <w:color w:val="767171" w:themeColor="background2" w:themeShade="80"/>
              </w:rPr>
              <w:t>[Enter relevant details of radiation projects – isotopes, equipment, etc.]</w:t>
            </w:r>
          </w:p>
        </w:tc>
      </w:tr>
      <w:tr w:rsidR="00241D02" w14:paraId="15782A69" w14:textId="77777777" w:rsidTr="00A3046D">
        <w:tc>
          <w:tcPr>
            <w:tcW w:w="2830" w:type="dxa"/>
            <w:gridSpan w:val="3"/>
            <w:shd w:val="clear" w:color="auto" w:fill="DEEAF6" w:themeFill="accent1" w:themeFillTint="33"/>
            <w:vAlign w:val="center"/>
          </w:tcPr>
          <w:p w14:paraId="557A062F" w14:textId="64F80450" w:rsidR="00241D02" w:rsidRDefault="00241D02" w:rsidP="003639E2">
            <w:r>
              <w:t>Radiation Project codes</w:t>
            </w:r>
          </w:p>
        </w:tc>
        <w:tc>
          <w:tcPr>
            <w:tcW w:w="6900" w:type="dxa"/>
            <w:gridSpan w:val="9"/>
            <w:vAlign w:val="center"/>
          </w:tcPr>
          <w:p w14:paraId="454C26C5" w14:textId="0E1047E6" w:rsidR="00241D02" w:rsidRPr="00A3046D" w:rsidRDefault="00A3046D" w:rsidP="003639E2">
            <w:pPr>
              <w:rPr>
                <w:i/>
                <w:iCs/>
              </w:rPr>
            </w:pPr>
            <w:r w:rsidRPr="00A3046D">
              <w:rPr>
                <w:i/>
                <w:iCs/>
                <w:color w:val="767171" w:themeColor="background2" w:themeShade="80"/>
              </w:rPr>
              <w:t>[Enter Radiation Project code</w:t>
            </w:r>
            <w:r>
              <w:rPr>
                <w:i/>
                <w:iCs/>
                <w:color w:val="767171" w:themeColor="background2" w:themeShade="80"/>
              </w:rPr>
              <w:t>(s)</w:t>
            </w:r>
            <w:r w:rsidRPr="00A3046D">
              <w:rPr>
                <w:i/>
                <w:iCs/>
                <w:color w:val="767171" w:themeColor="background2" w:themeShade="80"/>
              </w:rPr>
              <w:t xml:space="preserve"> here]</w:t>
            </w:r>
          </w:p>
        </w:tc>
      </w:tr>
      <w:tr w:rsidR="00241D02" w14:paraId="467A76F5" w14:textId="77777777" w:rsidTr="00D92F7B">
        <w:tc>
          <w:tcPr>
            <w:tcW w:w="8075" w:type="dxa"/>
            <w:gridSpan w:val="10"/>
            <w:shd w:val="clear" w:color="auto" w:fill="DEEAF6" w:themeFill="accent1" w:themeFillTint="33"/>
            <w:vAlign w:val="center"/>
          </w:tcPr>
          <w:p w14:paraId="3883DF0F" w14:textId="7209BF35" w:rsidR="00241D02" w:rsidRPr="00A3046D" w:rsidRDefault="005F467B" w:rsidP="003639E2">
            <w:pPr>
              <w:rPr>
                <w:sz w:val="20"/>
                <w:szCs w:val="18"/>
              </w:rPr>
            </w:pPr>
            <w:r w:rsidRPr="00A3046D">
              <w:rPr>
                <w:sz w:val="20"/>
                <w:szCs w:val="18"/>
              </w:rPr>
              <w:t>Map of laboratory attached showing radiation areas</w:t>
            </w:r>
            <w:r w:rsidR="00A3046D" w:rsidRPr="00A3046D">
              <w:rPr>
                <w:sz w:val="20"/>
                <w:szCs w:val="18"/>
              </w:rPr>
              <w:t xml:space="preserve"> attached</w:t>
            </w:r>
          </w:p>
        </w:tc>
        <w:sdt>
          <w:sdtPr>
            <w:id w:val="63252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gridSpan w:val="2"/>
                <w:vAlign w:val="center"/>
              </w:tcPr>
              <w:p w14:paraId="3611085C" w14:textId="066BA619" w:rsidR="00241D02" w:rsidRDefault="005F467B" w:rsidP="00D92F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467B" w14:paraId="61029F90" w14:textId="77777777" w:rsidTr="00D92F7B">
        <w:tc>
          <w:tcPr>
            <w:tcW w:w="8075" w:type="dxa"/>
            <w:gridSpan w:val="10"/>
            <w:shd w:val="clear" w:color="auto" w:fill="DEEAF6" w:themeFill="accent1" w:themeFillTint="33"/>
            <w:vAlign w:val="center"/>
          </w:tcPr>
          <w:p w14:paraId="701AD29D" w14:textId="3233E58C" w:rsidR="005F467B" w:rsidRPr="00A3046D" w:rsidRDefault="00003459" w:rsidP="003639E2">
            <w:pPr>
              <w:rPr>
                <w:sz w:val="20"/>
                <w:szCs w:val="18"/>
              </w:rPr>
            </w:pPr>
            <w:r w:rsidRPr="00A3046D">
              <w:rPr>
                <w:sz w:val="20"/>
                <w:szCs w:val="18"/>
              </w:rPr>
              <w:t>Map of areas to be monitored for contamination attached (see guidance below)</w:t>
            </w:r>
          </w:p>
        </w:tc>
        <w:sdt>
          <w:sdtPr>
            <w:id w:val="-47946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gridSpan w:val="2"/>
                <w:vAlign w:val="center"/>
              </w:tcPr>
              <w:p w14:paraId="500EC0AD" w14:textId="46F9E5FA" w:rsidR="005F467B" w:rsidRDefault="00003459" w:rsidP="00D92F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39E2" w14:paraId="084DEC80" w14:textId="77777777" w:rsidTr="003809E4">
        <w:tc>
          <w:tcPr>
            <w:tcW w:w="9730" w:type="dxa"/>
            <w:gridSpan w:val="12"/>
            <w:shd w:val="clear" w:color="auto" w:fill="DEEAF6" w:themeFill="accent1" w:themeFillTint="33"/>
            <w:vAlign w:val="center"/>
          </w:tcPr>
          <w:p w14:paraId="2C4C5B0E" w14:textId="45E91510" w:rsidR="003639E2" w:rsidRDefault="003639E2" w:rsidP="003639E2">
            <w:r>
              <w:t>Confirmation of</w:t>
            </w:r>
            <w:r w:rsidR="0023273A">
              <w:t>:</w:t>
            </w:r>
          </w:p>
        </w:tc>
      </w:tr>
      <w:tr w:rsidR="00003459" w14:paraId="7187921F" w14:textId="77777777" w:rsidTr="00D92F7B">
        <w:tc>
          <w:tcPr>
            <w:tcW w:w="8075" w:type="dxa"/>
            <w:gridSpan w:val="10"/>
            <w:shd w:val="clear" w:color="auto" w:fill="DEEAF6" w:themeFill="accent1" w:themeFillTint="33"/>
            <w:vAlign w:val="center"/>
          </w:tcPr>
          <w:p w14:paraId="25AD74DB" w14:textId="3A78A647" w:rsidR="00003459" w:rsidRPr="003639E2" w:rsidRDefault="00CD62B8" w:rsidP="003639E2">
            <w:pPr>
              <w:rPr>
                <w:sz w:val="20"/>
                <w:szCs w:val="18"/>
              </w:rPr>
            </w:pPr>
            <w:r w:rsidRPr="003639E2">
              <w:rPr>
                <w:sz w:val="20"/>
                <w:szCs w:val="18"/>
              </w:rPr>
              <w:t>All storage locations have been searched</w:t>
            </w:r>
            <w:r w:rsidR="003639E2" w:rsidRPr="003639E2">
              <w:rPr>
                <w:sz w:val="20"/>
                <w:szCs w:val="18"/>
              </w:rPr>
              <w:t xml:space="preserve"> (cupboards / drawers / fridges / freezers)</w:t>
            </w:r>
          </w:p>
        </w:tc>
        <w:sdt>
          <w:sdtPr>
            <w:id w:val="-20950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gridSpan w:val="2"/>
                <w:vAlign w:val="center"/>
              </w:tcPr>
              <w:p w14:paraId="0A68CCDB" w14:textId="771E6E46" w:rsidR="00003459" w:rsidRDefault="003639E2" w:rsidP="00D92F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3459" w14:paraId="7C44653E" w14:textId="77777777" w:rsidTr="00D92F7B">
        <w:tc>
          <w:tcPr>
            <w:tcW w:w="8075" w:type="dxa"/>
            <w:gridSpan w:val="10"/>
            <w:shd w:val="clear" w:color="auto" w:fill="DEEAF6" w:themeFill="accent1" w:themeFillTint="33"/>
            <w:vAlign w:val="center"/>
          </w:tcPr>
          <w:p w14:paraId="67341DC8" w14:textId="1B141E87" w:rsidR="00003459" w:rsidRPr="003639E2" w:rsidRDefault="003639E2" w:rsidP="003639E2">
            <w:pPr>
              <w:rPr>
                <w:sz w:val="20"/>
                <w:szCs w:val="18"/>
              </w:rPr>
            </w:pPr>
            <w:r w:rsidRPr="003639E2">
              <w:rPr>
                <w:sz w:val="20"/>
                <w:szCs w:val="18"/>
              </w:rPr>
              <w:t>All radioactive materials have been identified</w:t>
            </w:r>
          </w:p>
        </w:tc>
        <w:sdt>
          <w:sdtPr>
            <w:id w:val="-182457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gridSpan w:val="2"/>
                <w:vAlign w:val="center"/>
              </w:tcPr>
              <w:p w14:paraId="55677019" w14:textId="503EC379" w:rsidR="00003459" w:rsidRDefault="003639E2" w:rsidP="00D92F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39E2" w14:paraId="29C21973" w14:textId="77777777" w:rsidTr="00D92F7B">
        <w:tc>
          <w:tcPr>
            <w:tcW w:w="8075" w:type="dxa"/>
            <w:gridSpan w:val="10"/>
            <w:shd w:val="clear" w:color="auto" w:fill="DEEAF6" w:themeFill="accent1" w:themeFillTint="33"/>
            <w:vAlign w:val="center"/>
          </w:tcPr>
          <w:p w14:paraId="01B164C6" w14:textId="09BD98EB" w:rsidR="003639E2" w:rsidRPr="003639E2" w:rsidRDefault="003639E2" w:rsidP="003639E2">
            <w:pPr>
              <w:rPr>
                <w:sz w:val="20"/>
                <w:szCs w:val="18"/>
              </w:rPr>
            </w:pPr>
            <w:r w:rsidRPr="003639E2">
              <w:rPr>
                <w:sz w:val="20"/>
                <w:szCs w:val="18"/>
              </w:rPr>
              <w:t>All materials checked against IsoStock records</w:t>
            </w:r>
          </w:p>
        </w:tc>
        <w:sdt>
          <w:sdtPr>
            <w:id w:val="63306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gridSpan w:val="2"/>
                <w:vAlign w:val="center"/>
              </w:tcPr>
              <w:p w14:paraId="0D73AD0A" w14:textId="7175C819" w:rsidR="003639E2" w:rsidRDefault="003639E2" w:rsidP="00D92F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3459" w14:paraId="1F09D04E" w14:textId="77777777" w:rsidTr="00D92F7B">
        <w:tc>
          <w:tcPr>
            <w:tcW w:w="8075" w:type="dxa"/>
            <w:gridSpan w:val="10"/>
            <w:shd w:val="clear" w:color="auto" w:fill="DEEAF6" w:themeFill="accent1" w:themeFillTint="33"/>
            <w:vAlign w:val="center"/>
          </w:tcPr>
          <w:p w14:paraId="3E1F86D4" w14:textId="68F30EE3" w:rsidR="00003459" w:rsidRPr="003639E2" w:rsidRDefault="003639E2" w:rsidP="003639E2">
            <w:pPr>
              <w:rPr>
                <w:sz w:val="20"/>
                <w:szCs w:val="18"/>
              </w:rPr>
            </w:pPr>
            <w:r w:rsidRPr="003639E2">
              <w:rPr>
                <w:sz w:val="20"/>
                <w:szCs w:val="18"/>
              </w:rPr>
              <w:t>All radioactive materials have been removed</w:t>
            </w:r>
          </w:p>
        </w:tc>
        <w:sdt>
          <w:sdtPr>
            <w:id w:val="-162545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gridSpan w:val="2"/>
                <w:vAlign w:val="center"/>
              </w:tcPr>
              <w:p w14:paraId="5A8442F6" w14:textId="384F869B" w:rsidR="00003459" w:rsidRDefault="003639E2" w:rsidP="00D92F7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FC0C98" w14:textId="77777777" w:rsidR="003679F4" w:rsidRDefault="003679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348"/>
      </w:tblGrid>
      <w:tr w:rsidR="00134FFF" w14:paraId="2540D119" w14:textId="77777777" w:rsidTr="00516541">
        <w:tc>
          <w:tcPr>
            <w:tcW w:w="9730" w:type="dxa"/>
            <w:gridSpan w:val="3"/>
            <w:shd w:val="clear" w:color="auto" w:fill="DEEAF6" w:themeFill="accent1" w:themeFillTint="33"/>
            <w:vAlign w:val="center"/>
          </w:tcPr>
          <w:p w14:paraId="73ABEA1A" w14:textId="6F41BD97" w:rsidR="00134FFF" w:rsidRPr="00516541" w:rsidRDefault="00134FFF" w:rsidP="003639E2">
            <w:pPr>
              <w:rPr>
                <w:b/>
                <w:bCs/>
              </w:rPr>
            </w:pPr>
            <w:r w:rsidRPr="00516541">
              <w:rPr>
                <w:b/>
                <w:bCs/>
                <w:color w:val="002060"/>
              </w:rPr>
              <w:t>Method of contamination monitoring</w:t>
            </w:r>
            <w:r w:rsidR="00494FBA">
              <w:rPr>
                <w:b/>
                <w:bCs/>
                <w:color w:val="002060"/>
              </w:rPr>
              <w:t xml:space="preserve"> (</w:t>
            </w:r>
            <w:r w:rsidR="00DF2722">
              <w:rPr>
                <w:b/>
                <w:bCs/>
                <w:color w:val="002060"/>
              </w:rPr>
              <w:t xml:space="preserve">enter </w:t>
            </w:r>
            <w:r w:rsidR="00494FBA">
              <w:rPr>
                <w:b/>
                <w:bCs/>
                <w:color w:val="002060"/>
              </w:rPr>
              <w:t>monitor details)</w:t>
            </w:r>
          </w:p>
        </w:tc>
      </w:tr>
      <w:tr w:rsidR="00EE6634" w14:paraId="41EA8C69" w14:textId="77777777" w:rsidTr="001F373A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1A3DD3E2" w14:textId="79BD9050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  <w:r w:rsidRPr="001F373A">
              <w:rPr>
                <w:b/>
                <w:bCs/>
                <w:sz w:val="20"/>
                <w:szCs w:val="18"/>
              </w:rPr>
              <w:t>Tritium / Carbon 14</w:t>
            </w:r>
          </w:p>
        </w:tc>
        <w:tc>
          <w:tcPr>
            <w:tcW w:w="8034" w:type="dxa"/>
            <w:gridSpan w:val="2"/>
            <w:vAlign w:val="center"/>
          </w:tcPr>
          <w:p w14:paraId="56C796A1" w14:textId="59291575" w:rsidR="00EE6634" w:rsidRDefault="00EE6634" w:rsidP="003639E2">
            <w:r w:rsidRPr="001F373A">
              <w:rPr>
                <w:sz w:val="20"/>
                <w:szCs w:val="18"/>
              </w:rPr>
              <w:t>Indirect contamination monitoring using wipe tests and liquid scintillation counting (LSC)</w:t>
            </w:r>
          </w:p>
        </w:tc>
      </w:tr>
      <w:tr w:rsidR="00EE6634" w14:paraId="6BF3E238" w14:textId="77777777" w:rsidTr="001F373A"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1C37DEC9" w14:textId="77777777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66A89E1" w14:textId="68A66F41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Wipes taken using</w:t>
            </w:r>
          </w:p>
        </w:tc>
        <w:tc>
          <w:tcPr>
            <w:tcW w:w="4348" w:type="dxa"/>
            <w:vAlign w:val="center"/>
          </w:tcPr>
          <w:p w14:paraId="603853CE" w14:textId="77777777" w:rsidR="00EE6634" w:rsidRDefault="00EE6634" w:rsidP="003639E2"/>
        </w:tc>
      </w:tr>
      <w:tr w:rsidR="00EE6634" w14:paraId="39B76CA5" w14:textId="77777777" w:rsidTr="001F373A"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18F78FA0" w14:textId="77777777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C4DBB6C" w14:textId="198FC6DC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Details of LSC used</w:t>
            </w:r>
          </w:p>
        </w:tc>
        <w:tc>
          <w:tcPr>
            <w:tcW w:w="4348" w:type="dxa"/>
            <w:vAlign w:val="center"/>
          </w:tcPr>
          <w:p w14:paraId="7D1C1751" w14:textId="77777777" w:rsidR="00EE6634" w:rsidRDefault="00EE6634" w:rsidP="003639E2"/>
        </w:tc>
      </w:tr>
      <w:tr w:rsidR="00EE6634" w14:paraId="6091D9F0" w14:textId="77777777" w:rsidTr="001F373A"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4A331E6D" w14:textId="77777777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6231AD5" w14:textId="7C203226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Proposed action level</w:t>
            </w:r>
          </w:p>
        </w:tc>
        <w:tc>
          <w:tcPr>
            <w:tcW w:w="4348" w:type="dxa"/>
            <w:vAlign w:val="center"/>
          </w:tcPr>
          <w:p w14:paraId="2BC9320D" w14:textId="77777777" w:rsidR="00EE6634" w:rsidRDefault="00EE6634" w:rsidP="003639E2"/>
        </w:tc>
      </w:tr>
      <w:tr w:rsidR="00EE6634" w14:paraId="33255141" w14:textId="77777777" w:rsidTr="001F373A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4CB7F9BB" w14:textId="3EA2A485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  <w:r w:rsidRPr="001F373A">
              <w:rPr>
                <w:b/>
                <w:bCs/>
                <w:sz w:val="20"/>
                <w:szCs w:val="18"/>
              </w:rPr>
              <w:t>Phosphorus 32 / 33</w:t>
            </w:r>
          </w:p>
        </w:tc>
        <w:tc>
          <w:tcPr>
            <w:tcW w:w="3686" w:type="dxa"/>
            <w:vAlign w:val="center"/>
          </w:tcPr>
          <w:p w14:paraId="48F468B4" w14:textId="6D08658A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 xml:space="preserve">Direct contamination monitoring using </w:t>
            </w:r>
          </w:p>
        </w:tc>
        <w:tc>
          <w:tcPr>
            <w:tcW w:w="4348" w:type="dxa"/>
            <w:vAlign w:val="center"/>
          </w:tcPr>
          <w:p w14:paraId="63619F33" w14:textId="77777777" w:rsidR="00EE6634" w:rsidRDefault="00EE6634" w:rsidP="003639E2"/>
        </w:tc>
      </w:tr>
      <w:tr w:rsidR="00EE6634" w14:paraId="651098BD" w14:textId="77777777" w:rsidTr="001F373A"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7303473A" w14:textId="77777777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FD0826A" w14:textId="3B25B1E1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Proposed action level</w:t>
            </w:r>
          </w:p>
        </w:tc>
        <w:tc>
          <w:tcPr>
            <w:tcW w:w="4348" w:type="dxa"/>
            <w:vAlign w:val="center"/>
          </w:tcPr>
          <w:p w14:paraId="5D281092" w14:textId="77777777" w:rsidR="00EE6634" w:rsidRDefault="00EE6634" w:rsidP="003639E2"/>
        </w:tc>
      </w:tr>
      <w:tr w:rsidR="00EE6634" w14:paraId="45A46F2E" w14:textId="77777777" w:rsidTr="001F373A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224FF219" w14:textId="056F705C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  <w:r w:rsidRPr="001F373A">
              <w:rPr>
                <w:b/>
                <w:bCs/>
                <w:sz w:val="20"/>
                <w:szCs w:val="18"/>
              </w:rPr>
              <w:t>Sulphur 35</w:t>
            </w:r>
          </w:p>
        </w:tc>
        <w:tc>
          <w:tcPr>
            <w:tcW w:w="3686" w:type="dxa"/>
            <w:vAlign w:val="center"/>
          </w:tcPr>
          <w:p w14:paraId="7007658C" w14:textId="5E1E9046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Direct contamination monitoring using</w:t>
            </w:r>
          </w:p>
        </w:tc>
        <w:tc>
          <w:tcPr>
            <w:tcW w:w="4348" w:type="dxa"/>
            <w:vAlign w:val="center"/>
          </w:tcPr>
          <w:p w14:paraId="66CF9C1A" w14:textId="77777777" w:rsidR="00EE6634" w:rsidRDefault="00EE6634" w:rsidP="003639E2"/>
        </w:tc>
      </w:tr>
      <w:tr w:rsidR="00EE6634" w14:paraId="2DF08E61" w14:textId="77777777" w:rsidTr="001F373A"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6D4F4B16" w14:textId="77777777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6008CFF" w14:textId="31FCB3DA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Proposed action level</w:t>
            </w:r>
          </w:p>
        </w:tc>
        <w:tc>
          <w:tcPr>
            <w:tcW w:w="4348" w:type="dxa"/>
            <w:vAlign w:val="center"/>
          </w:tcPr>
          <w:p w14:paraId="2E2DCBCF" w14:textId="77777777" w:rsidR="00EE6634" w:rsidRDefault="00EE6634" w:rsidP="003639E2"/>
        </w:tc>
      </w:tr>
      <w:tr w:rsidR="00EE6634" w14:paraId="007C421F" w14:textId="77777777" w:rsidTr="001F373A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69FC0937" w14:textId="5A2DD7A0" w:rsidR="00EE6634" w:rsidRPr="001F373A" w:rsidRDefault="00EE6634" w:rsidP="004A4DBF">
            <w:pPr>
              <w:rPr>
                <w:b/>
                <w:bCs/>
                <w:sz w:val="20"/>
                <w:szCs w:val="18"/>
              </w:rPr>
            </w:pPr>
            <w:r w:rsidRPr="001F373A">
              <w:rPr>
                <w:b/>
                <w:bCs/>
                <w:sz w:val="20"/>
                <w:szCs w:val="18"/>
              </w:rPr>
              <w:t>Iodine 125</w:t>
            </w:r>
          </w:p>
        </w:tc>
        <w:tc>
          <w:tcPr>
            <w:tcW w:w="3686" w:type="dxa"/>
            <w:vAlign w:val="center"/>
          </w:tcPr>
          <w:p w14:paraId="04FA7ED7" w14:textId="4D8D4F1B" w:rsidR="00EE6634" w:rsidRPr="00BD26F9" w:rsidRDefault="00EE6634" w:rsidP="004A4DBF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Direct contamination monitoring using</w:t>
            </w:r>
          </w:p>
        </w:tc>
        <w:tc>
          <w:tcPr>
            <w:tcW w:w="4348" w:type="dxa"/>
            <w:vAlign w:val="center"/>
          </w:tcPr>
          <w:p w14:paraId="18E0BB40" w14:textId="77777777" w:rsidR="00EE6634" w:rsidRDefault="00EE6634" w:rsidP="004A4DBF"/>
        </w:tc>
      </w:tr>
      <w:tr w:rsidR="00EE6634" w14:paraId="336E1B19" w14:textId="77777777" w:rsidTr="001F373A"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06269E09" w14:textId="77777777" w:rsidR="00EE6634" w:rsidRPr="001F373A" w:rsidRDefault="00EE6634" w:rsidP="004A4DBF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2896171" w14:textId="4120AF20" w:rsidR="00EE6634" w:rsidRPr="00BD26F9" w:rsidRDefault="00EE6634" w:rsidP="004A4DBF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Proposed action level</w:t>
            </w:r>
          </w:p>
        </w:tc>
        <w:tc>
          <w:tcPr>
            <w:tcW w:w="4348" w:type="dxa"/>
            <w:vAlign w:val="center"/>
          </w:tcPr>
          <w:p w14:paraId="3B6BD8EF" w14:textId="77777777" w:rsidR="00EE6634" w:rsidRDefault="00EE6634" w:rsidP="004A4DBF"/>
        </w:tc>
      </w:tr>
      <w:tr w:rsidR="00EE6634" w14:paraId="4A43A843" w14:textId="77777777" w:rsidTr="001F373A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1E744D9A" w14:textId="6D2C7FD0" w:rsidR="00EE6634" w:rsidRPr="001F373A" w:rsidRDefault="00EE6634" w:rsidP="003639E2">
            <w:pPr>
              <w:rPr>
                <w:b/>
                <w:bCs/>
                <w:sz w:val="20"/>
                <w:szCs w:val="18"/>
              </w:rPr>
            </w:pPr>
            <w:r w:rsidRPr="001F373A">
              <w:rPr>
                <w:b/>
                <w:bCs/>
                <w:sz w:val="20"/>
                <w:szCs w:val="18"/>
              </w:rPr>
              <w:t>Other</w:t>
            </w:r>
          </w:p>
        </w:tc>
        <w:tc>
          <w:tcPr>
            <w:tcW w:w="3686" w:type="dxa"/>
            <w:vAlign w:val="center"/>
          </w:tcPr>
          <w:p w14:paraId="6ED1C9B6" w14:textId="0F6C6C07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Monitoring regime</w:t>
            </w:r>
          </w:p>
        </w:tc>
        <w:tc>
          <w:tcPr>
            <w:tcW w:w="4348" w:type="dxa"/>
            <w:vAlign w:val="center"/>
          </w:tcPr>
          <w:p w14:paraId="013430E0" w14:textId="77777777" w:rsidR="00EE6634" w:rsidRDefault="00EE6634" w:rsidP="003639E2"/>
        </w:tc>
      </w:tr>
      <w:tr w:rsidR="00EE6634" w14:paraId="44940D35" w14:textId="77777777" w:rsidTr="001F373A"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67E9D509" w14:textId="77777777" w:rsidR="00EE6634" w:rsidRDefault="00EE6634" w:rsidP="003639E2"/>
        </w:tc>
        <w:tc>
          <w:tcPr>
            <w:tcW w:w="3686" w:type="dxa"/>
            <w:vAlign w:val="center"/>
          </w:tcPr>
          <w:p w14:paraId="109EBA40" w14:textId="02A1B295" w:rsidR="00EE6634" w:rsidRPr="00BD26F9" w:rsidRDefault="00EE6634" w:rsidP="003639E2">
            <w:pPr>
              <w:rPr>
                <w:sz w:val="20"/>
                <w:szCs w:val="18"/>
              </w:rPr>
            </w:pPr>
            <w:r w:rsidRPr="00BD26F9">
              <w:rPr>
                <w:sz w:val="20"/>
                <w:szCs w:val="18"/>
              </w:rPr>
              <w:t>Proposed action level</w:t>
            </w:r>
          </w:p>
        </w:tc>
        <w:tc>
          <w:tcPr>
            <w:tcW w:w="4348" w:type="dxa"/>
            <w:vAlign w:val="center"/>
          </w:tcPr>
          <w:p w14:paraId="345BE605" w14:textId="77777777" w:rsidR="00EE6634" w:rsidRDefault="00EE6634" w:rsidP="003639E2"/>
        </w:tc>
      </w:tr>
    </w:tbl>
    <w:p w14:paraId="104CC2FE" w14:textId="77777777" w:rsidR="004A4DBF" w:rsidRDefault="004A4D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74"/>
      </w:tblGrid>
      <w:tr w:rsidR="004A4DBF" w14:paraId="10816B84" w14:textId="77777777" w:rsidTr="00274783">
        <w:tc>
          <w:tcPr>
            <w:tcW w:w="9730" w:type="dxa"/>
            <w:gridSpan w:val="2"/>
            <w:shd w:val="clear" w:color="auto" w:fill="DEEAF6" w:themeFill="accent1" w:themeFillTint="33"/>
            <w:vAlign w:val="center"/>
          </w:tcPr>
          <w:p w14:paraId="3B8C4D62" w14:textId="7FDD4C8C" w:rsidR="004A4DBF" w:rsidRPr="00274783" w:rsidRDefault="002E5244" w:rsidP="003639E2">
            <w:pPr>
              <w:rPr>
                <w:rFonts w:cs="Arial"/>
                <w:b/>
                <w:bCs/>
                <w:sz w:val="20"/>
              </w:rPr>
            </w:pPr>
            <w:r w:rsidRPr="00516541">
              <w:rPr>
                <w:rFonts w:cs="Arial"/>
                <w:b/>
                <w:bCs/>
                <w:color w:val="002060"/>
                <w:szCs w:val="22"/>
              </w:rPr>
              <w:t>Monitoring of Radiation Laboratories</w:t>
            </w:r>
            <w:r w:rsidR="00E439C0">
              <w:rPr>
                <w:rFonts w:cs="Arial"/>
                <w:b/>
                <w:bCs/>
                <w:color w:val="002060"/>
                <w:szCs w:val="22"/>
              </w:rPr>
              <w:t xml:space="preserve"> Guidance</w:t>
            </w:r>
          </w:p>
        </w:tc>
      </w:tr>
      <w:tr w:rsidR="004A4DBF" w14:paraId="5460868F" w14:textId="77777777" w:rsidTr="000A14A7">
        <w:trPr>
          <w:trHeight w:val="896"/>
        </w:trPr>
        <w:tc>
          <w:tcPr>
            <w:tcW w:w="3256" w:type="dxa"/>
            <w:shd w:val="clear" w:color="auto" w:fill="E7E6E6" w:themeFill="background2"/>
            <w:vAlign w:val="center"/>
          </w:tcPr>
          <w:p w14:paraId="137AD549" w14:textId="38B7F691" w:rsidR="004A4DBF" w:rsidRPr="006558AC" w:rsidRDefault="00070181" w:rsidP="0007018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Sinks and draining boards used for the disposal of aqueous radioactive waste </w:t>
            </w:r>
          </w:p>
        </w:tc>
        <w:tc>
          <w:tcPr>
            <w:tcW w:w="6474" w:type="dxa"/>
            <w:vAlign w:val="center"/>
          </w:tcPr>
          <w:p w14:paraId="5AD5BA7F" w14:textId="6978362D" w:rsidR="004A4DBF" w:rsidRPr="006558AC" w:rsidRDefault="00070181" w:rsidP="000701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558AC">
              <w:rPr>
                <w:rFonts w:ascii="Arial" w:hAnsi="Arial" w:cs="Arial"/>
                <w:sz w:val="20"/>
                <w:szCs w:val="20"/>
              </w:rPr>
              <w:t xml:space="preserve">Sinks/drains will be flushed with copious amounts of water. The draining board, sink and plug hole will be monitored. </w:t>
            </w:r>
          </w:p>
        </w:tc>
      </w:tr>
      <w:tr w:rsidR="002E5244" w14:paraId="6AA18940" w14:textId="77777777" w:rsidTr="000A14A7">
        <w:trPr>
          <w:trHeight w:val="896"/>
        </w:trPr>
        <w:tc>
          <w:tcPr>
            <w:tcW w:w="3256" w:type="dxa"/>
            <w:shd w:val="clear" w:color="auto" w:fill="E7E6E6" w:themeFill="background2"/>
            <w:vAlign w:val="center"/>
          </w:tcPr>
          <w:p w14:paraId="7F1258CC" w14:textId="002121F4" w:rsidR="002E5244" w:rsidRPr="006558AC" w:rsidRDefault="00070181" w:rsidP="0007018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Sink traps from radiation sinks </w:t>
            </w:r>
          </w:p>
        </w:tc>
        <w:tc>
          <w:tcPr>
            <w:tcW w:w="6474" w:type="dxa"/>
            <w:vAlign w:val="center"/>
          </w:tcPr>
          <w:p w14:paraId="7DE58EBB" w14:textId="2B0E9050" w:rsidR="002E5244" w:rsidRPr="006558AC" w:rsidRDefault="00070181" w:rsidP="0007018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558AC">
              <w:rPr>
                <w:rFonts w:ascii="Arial" w:hAnsi="Arial" w:cs="Arial"/>
                <w:sz w:val="20"/>
                <w:szCs w:val="20"/>
              </w:rPr>
              <w:t xml:space="preserve">Following flushing with water the sink traps will be disconnected and monitored internally using a wipe test. </w:t>
            </w:r>
          </w:p>
        </w:tc>
      </w:tr>
      <w:tr w:rsidR="002E5244" w14:paraId="68882847" w14:textId="77777777" w:rsidTr="000A14A7">
        <w:trPr>
          <w:trHeight w:val="896"/>
        </w:trPr>
        <w:tc>
          <w:tcPr>
            <w:tcW w:w="3256" w:type="dxa"/>
            <w:shd w:val="clear" w:color="auto" w:fill="E7E6E6" w:themeFill="background2"/>
            <w:vAlign w:val="center"/>
          </w:tcPr>
          <w:p w14:paraId="5FFF75EC" w14:textId="6337D051" w:rsidR="002E5244" w:rsidRPr="006558AC" w:rsidRDefault="009E55EA" w:rsidP="009E55EA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Drainage </w:t>
            </w:r>
          </w:p>
        </w:tc>
        <w:tc>
          <w:tcPr>
            <w:tcW w:w="6474" w:type="dxa"/>
            <w:vAlign w:val="center"/>
          </w:tcPr>
          <w:p w14:paraId="2A7C71D7" w14:textId="77777777" w:rsidR="009E55EA" w:rsidRPr="006558AC" w:rsidRDefault="009E55EA" w:rsidP="009E55E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558AC">
              <w:rPr>
                <w:rFonts w:ascii="Arial" w:hAnsi="Arial" w:cs="Arial"/>
                <w:sz w:val="20"/>
                <w:szCs w:val="20"/>
              </w:rPr>
              <w:t xml:space="preserve">Open ends of connected pipework will be monitored. </w:t>
            </w:r>
          </w:p>
          <w:p w14:paraId="665BBDAB" w14:textId="769DDB4D" w:rsidR="002E5244" w:rsidRPr="006558AC" w:rsidRDefault="009E55EA" w:rsidP="009E55EA">
            <w:pPr>
              <w:rPr>
                <w:rFonts w:cs="Arial"/>
                <w:sz w:val="20"/>
              </w:rPr>
            </w:pPr>
            <w:r w:rsidRPr="006558AC">
              <w:rPr>
                <w:rFonts w:cs="Arial"/>
                <w:sz w:val="20"/>
              </w:rPr>
              <w:t xml:space="preserve">Depending on the type of isotopes used and the drainage plans further investigations may be required. </w:t>
            </w:r>
          </w:p>
        </w:tc>
      </w:tr>
      <w:tr w:rsidR="002E5244" w14:paraId="0B161C4C" w14:textId="77777777" w:rsidTr="000A14A7">
        <w:trPr>
          <w:trHeight w:val="896"/>
        </w:trPr>
        <w:tc>
          <w:tcPr>
            <w:tcW w:w="3256" w:type="dxa"/>
            <w:shd w:val="clear" w:color="auto" w:fill="E7E6E6" w:themeFill="background2"/>
            <w:vAlign w:val="center"/>
          </w:tcPr>
          <w:p w14:paraId="77B7F8EE" w14:textId="72914A20" w:rsidR="002E5244" w:rsidRPr="006558AC" w:rsidRDefault="00BC4E98" w:rsidP="00BC4E9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Fume hoods used for work with radioactivity </w:t>
            </w:r>
          </w:p>
        </w:tc>
        <w:tc>
          <w:tcPr>
            <w:tcW w:w="6474" w:type="dxa"/>
            <w:vAlign w:val="center"/>
          </w:tcPr>
          <w:p w14:paraId="67D5AB36" w14:textId="576B7C6C" w:rsidR="002E5244" w:rsidRPr="006558AC" w:rsidRDefault="00BC4E98" w:rsidP="00BC4E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558AC">
              <w:rPr>
                <w:rFonts w:ascii="Arial" w:hAnsi="Arial" w:cs="Arial"/>
                <w:sz w:val="20"/>
                <w:szCs w:val="20"/>
              </w:rPr>
              <w:t xml:space="preserve">All internal work surfaces and aqueous waste disposal sinks will be monitored as above. Gaseous extract points will be monitored using wipes. </w:t>
            </w:r>
          </w:p>
        </w:tc>
      </w:tr>
      <w:tr w:rsidR="002E5244" w14:paraId="5A4A9902" w14:textId="77777777" w:rsidTr="000A14A7">
        <w:trPr>
          <w:trHeight w:val="896"/>
        </w:trPr>
        <w:tc>
          <w:tcPr>
            <w:tcW w:w="3256" w:type="dxa"/>
            <w:shd w:val="clear" w:color="auto" w:fill="E7E6E6" w:themeFill="background2"/>
            <w:vAlign w:val="center"/>
          </w:tcPr>
          <w:p w14:paraId="75EF8DEE" w14:textId="0696BFCC" w:rsidR="002E5244" w:rsidRPr="006558AC" w:rsidRDefault="00BC4E98" w:rsidP="00BC4E9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Equipment </w:t>
            </w:r>
          </w:p>
        </w:tc>
        <w:tc>
          <w:tcPr>
            <w:tcW w:w="6474" w:type="dxa"/>
            <w:vAlign w:val="center"/>
          </w:tcPr>
          <w:p w14:paraId="2E778BC6" w14:textId="47159F85" w:rsidR="00E02517" w:rsidRPr="006558AC" w:rsidRDefault="00E02517" w:rsidP="00E025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558AC">
              <w:rPr>
                <w:rFonts w:ascii="Arial" w:hAnsi="Arial" w:cs="Arial"/>
                <w:sz w:val="20"/>
                <w:szCs w:val="20"/>
              </w:rPr>
              <w:t xml:space="preserve">All equipment in the room will be monitored (all external and internal surfaces) including fridges, </w:t>
            </w:r>
            <w:r w:rsidR="001C5041" w:rsidRPr="006558AC">
              <w:rPr>
                <w:rFonts w:ascii="Arial" w:hAnsi="Arial" w:cs="Arial"/>
                <w:sz w:val="20"/>
                <w:szCs w:val="20"/>
              </w:rPr>
              <w:t>freezers,</w:t>
            </w:r>
            <w:r w:rsidRPr="006558AC">
              <w:rPr>
                <w:rFonts w:ascii="Arial" w:hAnsi="Arial" w:cs="Arial"/>
                <w:sz w:val="20"/>
                <w:szCs w:val="20"/>
              </w:rPr>
              <w:t xml:space="preserve"> and cold rooms. </w:t>
            </w:r>
          </w:p>
          <w:p w14:paraId="0224D6A1" w14:textId="42A178F1" w:rsidR="002E5244" w:rsidRPr="006558AC" w:rsidRDefault="00E02517" w:rsidP="00E02517">
            <w:pPr>
              <w:rPr>
                <w:rFonts w:cs="Arial"/>
                <w:sz w:val="20"/>
              </w:rPr>
            </w:pPr>
            <w:r w:rsidRPr="006558AC">
              <w:rPr>
                <w:rFonts w:cs="Arial"/>
                <w:sz w:val="20"/>
              </w:rPr>
              <w:t xml:space="preserve">Samples of freezer ice will be counted by liquid scintillation. </w:t>
            </w:r>
          </w:p>
        </w:tc>
      </w:tr>
      <w:tr w:rsidR="002E5244" w14:paraId="0C3FCE73" w14:textId="77777777" w:rsidTr="000A14A7">
        <w:trPr>
          <w:trHeight w:val="896"/>
        </w:trPr>
        <w:tc>
          <w:tcPr>
            <w:tcW w:w="3256" w:type="dxa"/>
            <w:shd w:val="clear" w:color="auto" w:fill="E7E6E6" w:themeFill="background2"/>
            <w:vAlign w:val="center"/>
          </w:tcPr>
          <w:p w14:paraId="2A694E6E" w14:textId="1FCB6626" w:rsidR="002E5244" w:rsidRPr="006558AC" w:rsidRDefault="00E02517" w:rsidP="00E0251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Benches and cupboards </w:t>
            </w:r>
          </w:p>
        </w:tc>
        <w:tc>
          <w:tcPr>
            <w:tcW w:w="6474" w:type="dxa"/>
            <w:vAlign w:val="center"/>
          </w:tcPr>
          <w:p w14:paraId="24F2A8BB" w14:textId="4003A678" w:rsidR="002E5244" w:rsidRPr="006558AC" w:rsidRDefault="00F66292" w:rsidP="00F662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558AC">
              <w:rPr>
                <w:rFonts w:ascii="Arial" w:hAnsi="Arial" w:cs="Arial"/>
                <w:sz w:val="20"/>
                <w:szCs w:val="20"/>
              </w:rPr>
              <w:t xml:space="preserve">A matrix of bench space will be monitored, including areas of known usage. Cupboard handles and under bench furniture will be monitored. </w:t>
            </w:r>
          </w:p>
        </w:tc>
      </w:tr>
      <w:tr w:rsidR="002E5244" w14:paraId="3A1645C5" w14:textId="77777777" w:rsidTr="000A14A7">
        <w:trPr>
          <w:trHeight w:val="896"/>
        </w:trPr>
        <w:tc>
          <w:tcPr>
            <w:tcW w:w="3256" w:type="dxa"/>
            <w:shd w:val="clear" w:color="auto" w:fill="E7E6E6" w:themeFill="background2"/>
            <w:vAlign w:val="center"/>
          </w:tcPr>
          <w:p w14:paraId="314594C5" w14:textId="361CC2B7" w:rsidR="002E5244" w:rsidRPr="006558AC" w:rsidRDefault="00F66292" w:rsidP="00F6629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Floors </w:t>
            </w:r>
          </w:p>
        </w:tc>
        <w:tc>
          <w:tcPr>
            <w:tcW w:w="6474" w:type="dxa"/>
            <w:vAlign w:val="center"/>
          </w:tcPr>
          <w:p w14:paraId="55690CA0" w14:textId="479E4FBA" w:rsidR="002E5244" w:rsidRPr="006558AC" w:rsidRDefault="006009B0" w:rsidP="006009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558AC">
              <w:rPr>
                <w:rFonts w:ascii="Arial" w:hAnsi="Arial" w:cs="Arial"/>
                <w:sz w:val="20"/>
                <w:szCs w:val="20"/>
              </w:rPr>
              <w:t xml:space="preserve">A matrix of the floor will be monitored. </w:t>
            </w:r>
          </w:p>
        </w:tc>
      </w:tr>
      <w:tr w:rsidR="002E5244" w14:paraId="1EC86CD9" w14:textId="77777777" w:rsidTr="000A14A7">
        <w:trPr>
          <w:trHeight w:val="896"/>
        </w:trPr>
        <w:tc>
          <w:tcPr>
            <w:tcW w:w="3256" w:type="dxa"/>
            <w:shd w:val="clear" w:color="auto" w:fill="E7E6E6" w:themeFill="background2"/>
            <w:vAlign w:val="center"/>
          </w:tcPr>
          <w:p w14:paraId="7EEDF4C3" w14:textId="1E484D16" w:rsidR="002E5244" w:rsidRPr="006558AC" w:rsidRDefault="006009B0" w:rsidP="006009B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Further points where radioactive contamination is reasonably foreseeable, </w:t>
            </w:r>
            <w:proofErr w:type="gramStart"/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>e.g.</w:t>
            </w:r>
            <w:proofErr w:type="gramEnd"/>
            <w:r w:rsidRPr="0065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handles, switches etc. </w:t>
            </w:r>
          </w:p>
        </w:tc>
        <w:tc>
          <w:tcPr>
            <w:tcW w:w="6474" w:type="dxa"/>
            <w:vAlign w:val="center"/>
          </w:tcPr>
          <w:p w14:paraId="09D3D614" w14:textId="5F2C2860" w:rsidR="002E5244" w:rsidRPr="006558AC" w:rsidRDefault="006009B0" w:rsidP="006009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558AC">
              <w:rPr>
                <w:rFonts w:ascii="Arial" w:hAnsi="Arial" w:cs="Arial"/>
                <w:sz w:val="20"/>
                <w:szCs w:val="20"/>
              </w:rPr>
              <w:t xml:space="preserve">Monitored. </w:t>
            </w:r>
          </w:p>
        </w:tc>
      </w:tr>
    </w:tbl>
    <w:p w14:paraId="75DEF56C" w14:textId="5FD769A1" w:rsidR="00415B3D" w:rsidRDefault="00415B3D" w:rsidP="003D2AB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4376"/>
        <w:gridCol w:w="1701"/>
        <w:gridCol w:w="850"/>
        <w:gridCol w:w="709"/>
        <w:gridCol w:w="810"/>
        <w:gridCol w:w="845"/>
      </w:tblGrid>
      <w:tr w:rsidR="0041688E" w14:paraId="4D15142E" w14:textId="77777777" w:rsidTr="007D5B05">
        <w:trPr>
          <w:trHeight w:val="345"/>
        </w:trPr>
        <w:tc>
          <w:tcPr>
            <w:tcW w:w="9730" w:type="dxa"/>
            <w:gridSpan w:val="7"/>
            <w:shd w:val="clear" w:color="auto" w:fill="DEEAF6" w:themeFill="accent1" w:themeFillTint="33"/>
          </w:tcPr>
          <w:p w14:paraId="33FEB290" w14:textId="2C7D8D5F" w:rsidR="0041688E" w:rsidRPr="00274783" w:rsidRDefault="0041688E" w:rsidP="00B928EA">
            <w:pPr>
              <w:spacing w:line="276" w:lineRule="auto"/>
              <w:jc w:val="both"/>
              <w:rPr>
                <w:b/>
                <w:bCs/>
                <w:color w:val="002060"/>
              </w:rPr>
            </w:pPr>
            <w:r w:rsidRPr="00274783">
              <w:rPr>
                <w:b/>
                <w:bCs/>
                <w:color w:val="002060"/>
              </w:rPr>
              <w:lastRenderedPageBreak/>
              <w:t>Section (B) Radiation Lab Decommissioning Checklist</w:t>
            </w:r>
          </w:p>
        </w:tc>
      </w:tr>
      <w:tr w:rsidR="0041688E" w14:paraId="5FCD919D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5BCE78C1" w14:textId="493095C3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1</w:t>
            </w:r>
          </w:p>
        </w:tc>
        <w:tc>
          <w:tcPr>
            <w:tcW w:w="4376" w:type="dxa"/>
            <w:shd w:val="clear" w:color="auto" w:fill="DEEAF6" w:themeFill="accent1" w:themeFillTint="33"/>
            <w:vAlign w:val="center"/>
          </w:tcPr>
          <w:p w14:paraId="3943A146" w14:textId="4BDC41A0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Room / Laboratory Designation:</w:t>
            </w:r>
          </w:p>
        </w:tc>
        <w:tc>
          <w:tcPr>
            <w:tcW w:w="1701" w:type="dxa"/>
            <w:vAlign w:val="center"/>
          </w:tcPr>
          <w:p w14:paraId="0251FEEB" w14:textId="07B23074" w:rsidR="0041688E" w:rsidRPr="00F21117" w:rsidRDefault="0041688E" w:rsidP="0041688E">
            <w:pPr>
              <w:spacing w:line="276" w:lineRule="auto"/>
              <w:rPr>
                <w:rFonts w:cs="Arial"/>
                <w:sz w:val="20"/>
                <w:szCs w:val="18"/>
              </w:rPr>
            </w:pPr>
            <w:r w:rsidRPr="00F21117">
              <w:rPr>
                <w:rFonts w:cs="Arial"/>
                <w:sz w:val="20"/>
                <w:szCs w:val="18"/>
              </w:rPr>
              <w:t xml:space="preserve">Controlled </w:t>
            </w:r>
            <w:sdt>
              <w:sdtPr>
                <w:rPr>
                  <w:rFonts w:cs="Arial"/>
                  <w:sz w:val="20"/>
                  <w:szCs w:val="18"/>
                </w:rPr>
                <w:id w:val="12100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1117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vAlign w:val="center"/>
          </w:tcPr>
          <w:p w14:paraId="1EAD2084" w14:textId="729C85E6" w:rsidR="0041688E" w:rsidRPr="00F21117" w:rsidRDefault="0041688E" w:rsidP="0041688E">
            <w:pPr>
              <w:spacing w:line="276" w:lineRule="auto"/>
              <w:rPr>
                <w:rFonts w:cs="Arial"/>
                <w:sz w:val="20"/>
                <w:szCs w:val="18"/>
              </w:rPr>
            </w:pPr>
            <w:r w:rsidRPr="00F21117">
              <w:rPr>
                <w:rFonts w:cs="Arial"/>
                <w:sz w:val="20"/>
                <w:szCs w:val="18"/>
              </w:rPr>
              <w:t xml:space="preserve">Supervised </w:t>
            </w:r>
            <w:sdt>
              <w:sdtPr>
                <w:rPr>
                  <w:rFonts w:cs="Arial"/>
                  <w:sz w:val="20"/>
                  <w:szCs w:val="18"/>
                </w:rPr>
                <w:id w:val="157038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1117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1655" w:type="dxa"/>
            <w:gridSpan w:val="2"/>
            <w:vAlign w:val="center"/>
          </w:tcPr>
          <w:p w14:paraId="61BE624A" w14:textId="1AC99695" w:rsidR="0041688E" w:rsidRPr="00F21117" w:rsidRDefault="0041688E" w:rsidP="0041688E">
            <w:pPr>
              <w:spacing w:line="276" w:lineRule="auto"/>
              <w:rPr>
                <w:rFonts w:cs="Arial"/>
                <w:sz w:val="20"/>
                <w:szCs w:val="18"/>
              </w:rPr>
            </w:pPr>
            <w:r w:rsidRPr="00F21117">
              <w:rPr>
                <w:rFonts w:cs="Arial"/>
                <w:sz w:val="20"/>
                <w:szCs w:val="18"/>
              </w:rPr>
              <w:t xml:space="preserve">Registered </w:t>
            </w:r>
            <w:sdt>
              <w:sdtPr>
                <w:rPr>
                  <w:rFonts w:cs="Arial"/>
                  <w:sz w:val="20"/>
                  <w:szCs w:val="18"/>
                </w:rPr>
                <w:id w:val="139763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1117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41688E" w14:paraId="7B794BF1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3C359E70" w14:textId="67EE2E48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2</w:t>
            </w:r>
          </w:p>
        </w:tc>
        <w:tc>
          <w:tcPr>
            <w:tcW w:w="4376" w:type="dxa"/>
            <w:shd w:val="clear" w:color="auto" w:fill="DEEAF6" w:themeFill="accent1" w:themeFillTint="33"/>
            <w:vAlign w:val="center"/>
          </w:tcPr>
          <w:p w14:paraId="6C5820FA" w14:textId="1AFB77F4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Reason for decommissioning</w:t>
            </w:r>
          </w:p>
        </w:tc>
        <w:tc>
          <w:tcPr>
            <w:tcW w:w="2551" w:type="dxa"/>
            <w:gridSpan w:val="2"/>
            <w:vAlign w:val="center"/>
          </w:tcPr>
          <w:p w14:paraId="774ED311" w14:textId="5EC033C7" w:rsidR="0041688E" w:rsidRPr="00F21117" w:rsidRDefault="0041688E" w:rsidP="0041688E">
            <w:pPr>
              <w:spacing w:line="276" w:lineRule="auto"/>
              <w:rPr>
                <w:rFonts w:cs="Arial"/>
                <w:sz w:val="20"/>
                <w:szCs w:val="18"/>
              </w:rPr>
            </w:pPr>
            <w:r w:rsidRPr="00F21117">
              <w:rPr>
                <w:rFonts w:cs="Arial"/>
                <w:sz w:val="20"/>
                <w:szCs w:val="18"/>
              </w:rPr>
              <w:t xml:space="preserve">Cessation of work </w:t>
            </w:r>
            <w:sdt>
              <w:sdtPr>
                <w:rPr>
                  <w:rFonts w:cs="Arial"/>
                  <w:sz w:val="20"/>
                  <w:szCs w:val="18"/>
                </w:rPr>
                <w:id w:val="31807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1117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2364" w:type="dxa"/>
            <w:gridSpan w:val="3"/>
            <w:vAlign w:val="center"/>
          </w:tcPr>
          <w:p w14:paraId="0BF61B12" w14:textId="0F7AD77D" w:rsidR="0041688E" w:rsidRPr="00F21117" w:rsidRDefault="0041688E" w:rsidP="0041688E">
            <w:pPr>
              <w:spacing w:line="276" w:lineRule="auto"/>
              <w:rPr>
                <w:rFonts w:cs="Arial"/>
                <w:sz w:val="20"/>
                <w:szCs w:val="18"/>
              </w:rPr>
            </w:pPr>
            <w:r w:rsidRPr="00F21117">
              <w:rPr>
                <w:rFonts w:cs="Arial"/>
                <w:sz w:val="20"/>
                <w:szCs w:val="18"/>
              </w:rPr>
              <w:t xml:space="preserve">Relocation of work </w:t>
            </w:r>
            <w:sdt>
              <w:sdtPr>
                <w:rPr>
                  <w:rFonts w:cs="Arial"/>
                  <w:sz w:val="20"/>
                  <w:szCs w:val="18"/>
                </w:rPr>
                <w:id w:val="140918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1117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41688E" w14:paraId="368121C7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170967BB" w14:textId="37727532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3</w:t>
            </w:r>
          </w:p>
        </w:tc>
        <w:tc>
          <w:tcPr>
            <w:tcW w:w="4376" w:type="dxa"/>
            <w:shd w:val="clear" w:color="auto" w:fill="DEEAF6" w:themeFill="accent1" w:themeFillTint="33"/>
            <w:vAlign w:val="center"/>
          </w:tcPr>
          <w:p w14:paraId="24D3BAC3" w14:textId="700BFD82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If relocation, state new laboratory location</w:t>
            </w:r>
          </w:p>
        </w:tc>
        <w:tc>
          <w:tcPr>
            <w:tcW w:w="4915" w:type="dxa"/>
            <w:gridSpan w:val="5"/>
            <w:vAlign w:val="center"/>
          </w:tcPr>
          <w:p w14:paraId="69B09641" w14:textId="657763C4" w:rsidR="0041688E" w:rsidRDefault="0041688E" w:rsidP="0041688E">
            <w:pPr>
              <w:spacing w:line="276" w:lineRule="auto"/>
            </w:pPr>
          </w:p>
        </w:tc>
      </w:tr>
      <w:tr w:rsidR="0041688E" w14:paraId="7ACC0A3B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6388B04D" w14:textId="3D06CE5D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4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730EA710" w14:textId="5EDD1C04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All radioactive material removed</w:t>
            </w:r>
          </w:p>
        </w:tc>
        <w:tc>
          <w:tcPr>
            <w:tcW w:w="845" w:type="dxa"/>
            <w:vAlign w:val="center"/>
          </w:tcPr>
          <w:p w14:paraId="142C191C" w14:textId="04F1CEAF" w:rsidR="0041688E" w:rsidRDefault="00D210A2" w:rsidP="00D92F7B">
            <w:pPr>
              <w:spacing w:line="276" w:lineRule="auto"/>
              <w:jc w:val="center"/>
            </w:pPr>
            <w:sdt>
              <w:sdtPr>
                <w:id w:val="162010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4BE94877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7218E2F0" w14:textId="49279F66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5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792E731F" w14:textId="0DE05490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All radioactive waste removed</w:t>
            </w:r>
          </w:p>
        </w:tc>
        <w:tc>
          <w:tcPr>
            <w:tcW w:w="845" w:type="dxa"/>
            <w:vAlign w:val="center"/>
          </w:tcPr>
          <w:p w14:paraId="0603693F" w14:textId="19C34242" w:rsidR="0041688E" w:rsidRDefault="00D210A2" w:rsidP="00D92F7B">
            <w:pPr>
              <w:spacing w:line="276" w:lineRule="auto"/>
              <w:jc w:val="center"/>
            </w:pPr>
            <w:sdt>
              <w:sdtPr>
                <w:id w:val="-1511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0B62AE8B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527480C4" w14:textId="101AEF30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6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0DA512FE" w14:textId="3FC70E18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Usage and disposal records updated on IsoStock and checked (disposal date, route)</w:t>
            </w:r>
          </w:p>
        </w:tc>
        <w:tc>
          <w:tcPr>
            <w:tcW w:w="845" w:type="dxa"/>
            <w:vAlign w:val="center"/>
          </w:tcPr>
          <w:p w14:paraId="10D66162" w14:textId="25703C45" w:rsidR="0041688E" w:rsidRDefault="00D210A2" w:rsidP="00D92F7B">
            <w:pPr>
              <w:spacing w:line="276" w:lineRule="auto"/>
              <w:jc w:val="center"/>
            </w:pPr>
            <w:sdt>
              <w:sdtPr>
                <w:id w:val="-4423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4EA9F35C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7D3B5385" w14:textId="7456C3D3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7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797E1CE1" w14:textId="5A7CB512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All empty containers removed and disposed of</w:t>
            </w:r>
          </w:p>
        </w:tc>
        <w:tc>
          <w:tcPr>
            <w:tcW w:w="845" w:type="dxa"/>
            <w:vAlign w:val="center"/>
          </w:tcPr>
          <w:p w14:paraId="7626EEF4" w14:textId="0088CFDD" w:rsidR="0041688E" w:rsidRDefault="00D210A2" w:rsidP="00D92F7B">
            <w:pPr>
              <w:spacing w:line="276" w:lineRule="auto"/>
              <w:jc w:val="center"/>
            </w:pPr>
            <w:sdt>
              <w:sdtPr>
                <w:id w:val="-114859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12248EED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6471D611" w14:textId="3FA3691E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8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10DD78DD" w14:textId="6800094E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Contamination monitoring results documented and sent to H&amp;S Department</w:t>
            </w:r>
          </w:p>
        </w:tc>
        <w:tc>
          <w:tcPr>
            <w:tcW w:w="845" w:type="dxa"/>
            <w:vAlign w:val="center"/>
          </w:tcPr>
          <w:p w14:paraId="1B727CA5" w14:textId="305D5BA6" w:rsidR="0041688E" w:rsidRDefault="00D210A2" w:rsidP="00D92F7B">
            <w:pPr>
              <w:spacing w:line="276" w:lineRule="auto"/>
              <w:jc w:val="center"/>
            </w:pPr>
            <w:sdt>
              <w:sdtPr>
                <w:id w:val="92623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2E4715E7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4E057E25" w14:textId="7B047A4A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9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679FEBA6" w14:textId="7E2E371E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 xml:space="preserve">All loose surface contamination </w:t>
            </w:r>
            <w:proofErr w:type="gramStart"/>
            <w:r w:rsidRPr="00F21117">
              <w:rPr>
                <w:sz w:val="20"/>
                <w:szCs w:val="18"/>
              </w:rPr>
              <w:t>removed</w:t>
            </w:r>
            <w:proofErr w:type="gramEnd"/>
          </w:p>
          <w:p w14:paraId="15F22A2D" w14:textId="77113942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If any contamination remains, contact H&amp;S Dept.</w:t>
            </w:r>
          </w:p>
        </w:tc>
        <w:tc>
          <w:tcPr>
            <w:tcW w:w="845" w:type="dxa"/>
            <w:vAlign w:val="center"/>
          </w:tcPr>
          <w:p w14:paraId="0648B4A7" w14:textId="5673A058" w:rsidR="0041688E" w:rsidRDefault="00D210A2" w:rsidP="00D92F7B">
            <w:pPr>
              <w:spacing w:line="276" w:lineRule="auto"/>
              <w:jc w:val="center"/>
            </w:pPr>
            <w:sdt>
              <w:sdtPr>
                <w:id w:val="28755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468862E7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0189D342" w14:textId="6D8BC84C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10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69649CA7" w14:textId="43C54235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 xml:space="preserve">Sink Traps </w:t>
            </w:r>
            <w:proofErr w:type="gramStart"/>
            <w:r w:rsidRPr="00F21117">
              <w:rPr>
                <w:sz w:val="20"/>
                <w:szCs w:val="18"/>
              </w:rPr>
              <w:t>checked</w:t>
            </w:r>
            <w:proofErr w:type="gramEnd"/>
          </w:p>
          <w:p w14:paraId="714B496C" w14:textId="2A4DAA8B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If any contamination remains on pipes / traps, contact H&amp;S Dept.</w:t>
            </w:r>
          </w:p>
        </w:tc>
        <w:tc>
          <w:tcPr>
            <w:tcW w:w="845" w:type="dxa"/>
            <w:vAlign w:val="center"/>
          </w:tcPr>
          <w:p w14:paraId="704C9F4E" w14:textId="6E73C974" w:rsidR="0041688E" w:rsidRDefault="00D210A2" w:rsidP="00D92F7B">
            <w:pPr>
              <w:spacing w:line="276" w:lineRule="auto"/>
              <w:jc w:val="center"/>
            </w:pPr>
            <w:sdt>
              <w:sdtPr>
                <w:id w:val="150515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52C98AD5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3067320E" w14:textId="7AD22DF8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11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2F419DD8" w14:textId="1F7A42F3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 xml:space="preserve">Extract fume cupboards </w:t>
            </w:r>
            <w:proofErr w:type="gramStart"/>
            <w:r w:rsidRPr="00F21117">
              <w:rPr>
                <w:sz w:val="20"/>
                <w:szCs w:val="18"/>
              </w:rPr>
              <w:t>checked</w:t>
            </w:r>
            <w:proofErr w:type="gramEnd"/>
          </w:p>
          <w:p w14:paraId="420417F4" w14:textId="70326B41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If any contamination remains, contact H&amp;S Dept.</w:t>
            </w:r>
          </w:p>
        </w:tc>
        <w:tc>
          <w:tcPr>
            <w:tcW w:w="845" w:type="dxa"/>
            <w:vAlign w:val="center"/>
          </w:tcPr>
          <w:p w14:paraId="3217B6B8" w14:textId="4025CA19" w:rsidR="0041688E" w:rsidRDefault="00D210A2" w:rsidP="00D92F7B">
            <w:pPr>
              <w:spacing w:line="276" w:lineRule="auto"/>
              <w:jc w:val="center"/>
            </w:pPr>
            <w:sdt>
              <w:sdtPr>
                <w:id w:val="-70416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20DAA6A7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25931C2F" w14:textId="187612D8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12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4F8771B4" w14:textId="01F816E6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b/>
                <w:bCs/>
                <w:sz w:val="20"/>
                <w:szCs w:val="18"/>
              </w:rPr>
              <w:t>ALL</w:t>
            </w:r>
            <w:r w:rsidRPr="00F21117">
              <w:rPr>
                <w:sz w:val="20"/>
                <w:szCs w:val="18"/>
              </w:rPr>
              <w:t xml:space="preserve"> radiation signage, tape, and warning notices removed</w:t>
            </w:r>
          </w:p>
        </w:tc>
        <w:tc>
          <w:tcPr>
            <w:tcW w:w="845" w:type="dxa"/>
            <w:vAlign w:val="center"/>
          </w:tcPr>
          <w:p w14:paraId="1A21E1A8" w14:textId="0A8374E8" w:rsidR="0041688E" w:rsidRDefault="00D210A2" w:rsidP="00D92F7B">
            <w:pPr>
              <w:spacing w:line="276" w:lineRule="auto"/>
              <w:jc w:val="center"/>
            </w:pPr>
            <w:sdt>
              <w:sdtPr>
                <w:id w:val="1602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34E71A54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6076D2E8" w14:textId="7A8FD383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13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6B64C8AE" w14:textId="17ACEFC3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b/>
                <w:bCs/>
                <w:sz w:val="20"/>
                <w:szCs w:val="18"/>
              </w:rPr>
              <w:t>ALL</w:t>
            </w:r>
            <w:r w:rsidRPr="00F21117">
              <w:rPr>
                <w:sz w:val="20"/>
                <w:szCs w:val="18"/>
              </w:rPr>
              <w:t xml:space="preserve"> equipment removed</w:t>
            </w:r>
          </w:p>
        </w:tc>
        <w:sdt>
          <w:sdtPr>
            <w:id w:val="-54313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1473AE01" w14:textId="430D8DC3" w:rsidR="0041688E" w:rsidRDefault="0041688E" w:rsidP="00D92F7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688E" w14:paraId="26CFD1E3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35ABBAD8" w14:textId="2385B22B" w:rsidR="0041688E" w:rsidRPr="0041688E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41688E">
              <w:rPr>
                <w:sz w:val="20"/>
                <w:szCs w:val="18"/>
              </w:rPr>
              <w:t>14</w:t>
            </w: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3B778B07" w14:textId="49860647" w:rsidR="0041688E" w:rsidRPr="00F21117" w:rsidRDefault="0041688E" w:rsidP="0041688E">
            <w:p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 xml:space="preserve">All records up to date, available, filed locally, and </w:t>
            </w:r>
            <w:r>
              <w:rPr>
                <w:sz w:val="20"/>
                <w:szCs w:val="18"/>
              </w:rPr>
              <w:t xml:space="preserve">copies </w:t>
            </w:r>
            <w:r w:rsidRPr="00F21117">
              <w:rPr>
                <w:sz w:val="20"/>
                <w:szCs w:val="18"/>
              </w:rPr>
              <w:t>sent to the H&amp;S Dept.</w:t>
            </w:r>
          </w:p>
        </w:tc>
        <w:tc>
          <w:tcPr>
            <w:tcW w:w="845" w:type="dxa"/>
            <w:vAlign w:val="center"/>
          </w:tcPr>
          <w:p w14:paraId="741D659B" w14:textId="7E43287B" w:rsidR="0041688E" w:rsidRDefault="00D210A2" w:rsidP="00D92F7B">
            <w:pPr>
              <w:spacing w:line="276" w:lineRule="auto"/>
              <w:jc w:val="center"/>
            </w:pPr>
            <w:sdt>
              <w:sdtPr>
                <w:id w:val="-97992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0E26D70B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6108E0DF" w14:textId="77777777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01235D69" w14:textId="182BBD46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Local Rules</w:t>
            </w:r>
          </w:p>
        </w:tc>
        <w:sdt>
          <w:sdtPr>
            <w:id w:val="-86998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44C329C9" w14:textId="623BB142" w:rsidR="0041688E" w:rsidRDefault="0041688E" w:rsidP="00D92F7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688E" w14:paraId="4755C2B8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3A5463DD" w14:textId="77777777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31417CC4" w14:textId="2CA7BEED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Radiation Risk Assessment</w:t>
            </w:r>
          </w:p>
        </w:tc>
        <w:sdt>
          <w:sdtPr>
            <w:id w:val="-200635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385C487D" w14:textId="3D44E116" w:rsidR="0041688E" w:rsidRDefault="0041688E" w:rsidP="00D92F7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688E" w14:paraId="2A8A3EE6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41A8CA6C" w14:textId="77777777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428C7025" w14:textId="5287DFFD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Usage and disposal records</w:t>
            </w:r>
          </w:p>
        </w:tc>
        <w:tc>
          <w:tcPr>
            <w:tcW w:w="845" w:type="dxa"/>
            <w:vAlign w:val="center"/>
          </w:tcPr>
          <w:p w14:paraId="20B71415" w14:textId="480AAF26" w:rsidR="0041688E" w:rsidRDefault="00D210A2" w:rsidP="00D92F7B">
            <w:pPr>
              <w:spacing w:line="276" w:lineRule="auto"/>
              <w:jc w:val="center"/>
            </w:pPr>
            <w:sdt>
              <w:sdtPr>
                <w:id w:val="-48808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15D2768A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22CE9E45" w14:textId="77777777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1369B983" w14:textId="036A5F17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Summary disposal records</w:t>
            </w:r>
          </w:p>
        </w:tc>
        <w:tc>
          <w:tcPr>
            <w:tcW w:w="845" w:type="dxa"/>
            <w:vAlign w:val="center"/>
          </w:tcPr>
          <w:p w14:paraId="59FE8F76" w14:textId="1575986C" w:rsidR="0041688E" w:rsidRDefault="00D210A2" w:rsidP="00D92F7B">
            <w:pPr>
              <w:spacing w:line="276" w:lineRule="auto"/>
              <w:jc w:val="center"/>
            </w:pPr>
            <w:sdt>
              <w:sdtPr>
                <w:id w:val="-11768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1797D8B9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1FDF0A88" w14:textId="77777777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1146205C" w14:textId="6B9A7749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Routine monitoring records</w:t>
            </w:r>
          </w:p>
        </w:tc>
        <w:tc>
          <w:tcPr>
            <w:tcW w:w="845" w:type="dxa"/>
            <w:vAlign w:val="center"/>
          </w:tcPr>
          <w:p w14:paraId="4A541AE0" w14:textId="58200DA6" w:rsidR="0041688E" w:rsidRDefault="00D210A2" w:rsidP="00D92F7B">
            <w:pPr>
              <w:spacing w:line="276" w:lineRule="auto"/>
              <w:jc w:val="center"/>
            </w:pPr>
            <w:sdt>
              <w:sdtPr>
                <w:id w:val="-122829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5F573011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07833891" w14:textId="77777777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7C8DAA66" w14:textId="4AA3C32B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 w:rsidRPr="00F21117">
              <w:rPr>
                <w:sz w:val="20"/>
                <w:szCs w:val="18"/>
              </w:rPr>
              <w:t>Decommissioning monitoring records</w:t>
            </w:r>
          </w:p>
        </w:tc>
        <w:tc>
          <w:tcPr>
            <w:tcW w:w="845" w:type="dxa"/>
            <w:vAlign w:val="center"/>
          </w:tcPr>
          <w:p w14:paraId="61CF0DF4" w14:textId="6DA5FA41" w:rsidR="0041688E" w:rsidRDefault="00D210A2" w:rsidP="00D92F7B">
            <w:pPr>
              <w:spacing w:line="276" w:lineRule="auto"/>
              <w:jc w:val="center"/>
            </w:pPr>
            <w:sdt>
              <w:sdtPr>
                <w:id w:val="-104960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688E" w14:paraId="7AFFC8B3" w14:textId="77777777" w:rsidTr="0041688E">
        <w:trPr>
          <w:trHeight w:val="529"/>
        </w:trPr>
        <w:tc>
          <w:tcPr>
            <w:tcW w:w="439" w:type="dxa"/>
            <w:shd w:val="clear" w:color="auto" w:fill="DEEAF6" w:themeFill="accent1" w:themeFillTint="33"/>
            <w:vAlign w:val="center"/>
          </w:tcPr>
          <w:p w14:paraId="2369BF45" w14:textId="77777777" w:rsidR="0041688E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8446" w:type="dxa"/>
            <w:gridSpan w:val="5"/>
            <w:shd w:val="clear" w:color="auto" w:fill="DEEAF6" w:themeFill="accent1" w:themeFillTint="33"/>
            <w:vAlign w:val="center"/>
          </w:tcPr>
          <w:p w14:paraId="2D028241" w14:textId="501DD463" w:rsidR="0041688E" w:rsidRPr="00F21117" w:rsidRDefault="0041688E" w:rsidP="0041688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This IR008 Decommissioning</w:t>
            </w:r>
            <w:r w:rsidRPr="00F21117">
              <w:rPr>
                <w:sz w:val="20"/>
                <w:szCs w:val="18"/>
              </w:rPr>
              <w:t xml:space="preserve"> checklist</w:t>
            </w:r>
          </w:p>
        </w:tc>
        <w:tc>
          <w:tcPr>
            <w:tcW w:w="845" w:type="dxa"/>
            <w:vAlign w:val="center"/>
          </w:tcPr>
          <w:p w14:paraId="544BCCE1" w14:textId="5EC5456F" w:rsidR="0041688E" w:rsidRDefault="00D210A2" w:rsidP="00D92F7B">
            <w:pPr>
              <w:spacing w:line="276" w:lineRule="auto"/>
              <w:jc w:val="center"/>
            </w:pPr>
            <w:sdt>
              <w:sdtPr>
                <w:id w:val="6541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7610391" w14:textId="77777777" w:rsidR="0041688E" w:rsidRDefault="0041688E" w:rsidP="0041688E">
      <w:pPr>
        <w:jc w:val="both"/>
      </w:pPr>
    </w:p>
    <w:p w14:paraId="2C52F498" w14:textId="3F674223" w:rsidR="0041688E" w:rsidRPr="0041688E" w:rsidRDefault="0041688E" w:rsidP="0041688E">
      <w:pPr>
        <w:jc w:val="both"/>
      </w:pPr>
      <w:r w:rsidRPr="0041688E">
        <w:t>Once the decommissioning form is fully completed, it must go through an approval process:</w:t>
      </w:r>
    </w:p>
    <w:p w14:paraId="057E376D" w14:textId="77777777" w:rsidR="0041688E" w:rsidRPr="0041688E" w:rsidRDefault="0041688E" w:rsidP="0041688E">
      <w:pPr>
        <w:numPr>
          <w:ilvl w:val="0"/>
          <w:numId w:val="16"/>
        </w:numPr>
        <w:jc w:val="both"/>
      </w:pPr>
      <w:r w:rsidRPr="0041688E">
        <w:t>The Radiation Protection Supervisor (RPS) or Senior RPS should review the form and sign it to approve decommissioning of the specific lab.</w:t>
      </w:r>
    </w:p>
    <w:p w14:paraId="5620F9A8" w14:textId="77777777" w:rsidR="0041688E" w:rsidRPr="0041688E" w:rsidRDefault="0041688E" w:rsidP="0041688E">
      <w:pPr>
        <w:numPr>
          <w:ilvl w:val="0"/>
          <w:numId w:val="16"/>
        </w:numPr>
        <w:jc w:val="both"/>
      </w:pPr>
      <w:r w:rsidRPr="0041688E">
        <w:t>Copies of the signed form should then be sent to the Radiation Protection Officer (RPO) and Health &amp; Safety (H&amp;S) Department.</w:t>
      </w:r>
    </w:p>
    <w:p w14:paraId="4A16908D" w14:textId="77777777" w:rsidR="0041688E" w:rsidRPr="0041688E" w:rsidRDefault="0041688E" w:rsidP="0041688E">
      <w:pPr>
        <w:numPr>
          <w:ilvl w:val="0"/>
          <w:numId w:val="16"/>
        </w:numPr>
        <w:jc w:val="both"/>
      </w:pPr>
      <w:r w:rsidRPr="0041688E">
        <w:lastRenderedPageBreak/>
        <w:t>The RPO/H&amp;S Department should sign the form to indicate their approval of the decommissioning.</w:t>
      </w:r>
    </w:p>
    <w:p w14:paraId="5EB447FD" w14:textId="77777777" w:rsidR="0041688E" w:rsidRPr="0041688E" w:rsidRDefault="0041688E" w:rsidP="0041688E">
      <w:pPr>
        <w:numPr>
          <w:ilvl w:val="0"/>
          <w:numId w:val="16"/>
        </w:numPr>
        <w:jc w:val="both"/>
      </w:pPr>
      <w:r w:rsidRPr="0041688E">
        <w:t>Finally, the University Ionising Radiation Safety Committee (IRSC) should receive copies of all approved decommissioning forms.</w:t>
      </w:r>
    </w:p>
    <w:p w14:paraId="453A9BC9" w14:textId="77777777" w:rsidR="0041688E" w:rsidRPr="0041688E" w:rsidRDefault="0041688E" w:rsidP="0041688E">
      <w:pPr>
        <w:numPr>
          <w:ilvl w:val="0"/>
          <w:numId w:val="16"/>
        </w:numPr>
        <w:jc w:val="both"/>
      </w:pPr>
      <w:r w:rsidRPr="0041688E">
        <w:t>The IRSC will then formally approve the decommissioning of each radiation laboratory, providing final oversight.</w:t>
      </w:r>
    </w:p>
    <w:p w14:paraId="64ECD213" w14:textId="5DC69369" w:rsidR="00F21117" w:rsidRDefault="00F21117" w:rsidP="000F1A16">
      <w:pPr>
        <w:spacing w:after="240"/>
        <w:jc w:val="both"/>
      </w:pPr>
    </w:p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4673"/>
        <w:gridCol w:w="1539"/>
        <w:gridCol w:w="3596"/>
      </w:tblGrid>
      <w:tr w:rsidR="008D5447" w14:paraId="0876DF0C" w14:textId="77777777" w:rsidTr="00274783">
        <w:trPr>
          <w:trHeight w:val="440"/>
        </w:trPr>
        <w:tc>
          <w:tcPr>
            <w:tcW w:w="9808" w:type="dxa"/>
            <w:gridSpan w:val="3"/>
            <w:shd w:val="clear" w:color="auto" w:fill="DEEAF6" w:themeFill="accent1" w:themeFillTint="33"/>
            <w:vAlign w:val="center"/>
          </w:tcPr>
          <w:p w14:paraId="2E4782EF" w14:textId="2C2AE90C" w:rsidR="008D5447" w:rsidRPr="00274783" w:rsidRDefault="008D5447" w:rsidP="00274783">
            <w:pPr>
              <w:spacing w:line="276" w:lineRule="auto"/>
              <w:rPr>
                <w:b/>
                <w:bCs/>
              </w:rPr>
            </w:pPr>
            <w:r w:rsidRPr="00274783">
              <w:rPr>
                <w:b/>
                <w:bCs/>
                <w:color w:val="002060"/>
              </w:rPr>
              <w:t>RPS approval:</w:t>
            </w:r>
          </w:p>
        </w:tc>
      </w:tr>
      <w:tr w:rsidR="008D5447" w14:paraId="48864AD0" w14:textId="77777777" w:rsidTr="00274783">
        <w:trPr>
          <w:trHeight w:val="277"/>
        </w:trPr>
        <w:tc>
          <w:tcPr>
            <w:tcW w:w="4673" w:type="dxa"/>
            <w:vAlign w:val="center"/>
          </w:tcPr>
          <w:p w14:paraId="53578921" w14:textId="77777777" w:rsidR="008D5447" w:rsidRDefault="008D5447" w:rsidP="00274783">
            <w:pPr>
              <w:spacing w:line="276" w:lineRule="auto"/>
            </w:pPr>
            <w:r>
              <w:rPr>
                <w:rFonts w:cs="Arial"/>
                <w:szCs w:val="22"/>
              </w:rPr>
              <w:t>Name &amp; position:</w:t>
            </w:r>
          </w:p>
        </w:tc>
        <w:tc>
          <w:tcPr>
            <w:tcW w:w="1539" w:type="dxa"/>
            <w:vAlign w:val="center"/>
          </w:tcPr>
          <w:p w14:paraId="6034928D" w14:textId="77777777" w:rsidR="008D5447" w:rsidRDefault="008D5447" w:rsidP="00274783">
            <w:pPr>
              <w:spacing w:line="276" w:lineRule="auto"/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3596" w:type="dxa"/>
            <w:vAlign w:val="center"/>
          </w:tcPr>
          <w:p w14:paraId="5BE703B6" w14:textId="77777777" w:rsidR="008D5447" w:rsidRDefault="008D5447" w:rsidP="00274783">
            <w:pPr>
              <w:spacing w:line="276" w:lineRule="auto"/>
            </w:pPr>
            <w:r>
              <w:rPr>
                <w:rFonts w:cs="Arial"/>
                <w:szCs w:val="22"/>
              </w:rPr>
              <w:t>Signature:</w:t>
            </w:r>
          </w:p>
        </w:tc>
      </w:tr>
      <w:tr w:rsidR="00274783" w14:paraId="66BCC688" w14:textId="77777777" w:rsidTr="00274783">
        <w:trPr>
          <w:trHeight w:val="390"/>
        </w:trPr>
        <w:tc>
          <w:tcPr>
            <w:tcW w:w="4673" w:type="dxa"/>
            <w:vAlign w:val="center"/>
          </w:tcPr>
          <w:p w14:paraId="3B7DD12B" w14:textId="77777777" w:rsidR="00274783" w:rsidRDefault="00274783" w:rsidP="00274783">
            <w:pPr>
              <w:spacing w:after="240" w:line="276" w:lineRule="auto"/>
              <w:rPr>
                <w:rFonts w:cs="Arial"/>
                <w:szCs w:val="22"/>
              </w:rPr>
            </w:pPr>
          </w:p>
        </w:tc>
        <w:tc>
          <w:tcPr>
            <w:tcW w:w="1539" w:type="dxa"/>
            <w:vAlign w:val="center"/>
          </w:tcPr>
          <w:p w14:paraId="64CE2F8B" w14:textId="77777777" w:rsidR="00274783" w:rsidRDefault="00274783" w:rsidP="00274783">
            <w:pPr>
              <w:spacing w:after="240" w:line="276" w:lineRule="auto"/>
              <w:rPr>
                <w:rFonts w:cs="Arial"/>
                <w:szCs w:val="22"/>
              </w:rPr>
            </w:pPr>
          </w:p>
        </w:tc>
        <w:tc>
          <w:tcPr>
            <w:tcW w:w="3596" w:type="dxa"/>
            <w:vAlign w:val="center"/>
          </w:tcPr>
          <w:p w14:paraId="5502C7EE" w14:textId="77777777" w:rsidR="00274783" w:rsidRDefault="00274783" w:rsidP="00274783">
            <w:pPr>
              <w:spacing w:after="240" w:line="276" w:lineRule="auto"/>
              <w:rPr>
                <w:rFonts w:cs="Arial"/>
                <w:szCs w:val="22"/>
              </w:rPr>
            </w:pPr>
          </w:p>
        </w:tc>
      </w:tr>
      <w:tr w:rsidR="008D5447" w14:paraId="2D82997A" w14:textId="77777777" w:rsidTr="00274783">
        <w:trPr>
          <w:trHeight w:val="491"/>
        </w:trPr>
        <w:tc>
          <w:tcPr>
            <w:tcW w:w="9808" w:type="dxa"/>
            <w:gridSpan w:val="3"/>
            <w:shd w:val="clear" w:color="auto" w:fill="DEEAF6" w:themeFill="accent1" w:themeFillTint="33"/>
            <w:vAlign w:val="center"/>
          </w:tcPr>
          <w:p w14:paraId="036AA683" w14:textId="43CCDA7D" w:rsidR="008D5447" w:rsidRPr="00274783" w:rsidRDefault="008D5447" w:rsidP="00274783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274783">
              <w:rPr>
                <w:b/>
                <w:bCs/>
                <w:color w:val="002060"/>
                <w:szCs w:val="22"/>
              </w:rPr>
              <w:t>Approval by the H&amp;S Department:</w:t>
            </w:r>
          </w:p>
        </w:tc>
      </w:tr>
      <w:tr w:rsidR="008D5447" w14:paraId="22A24B21" w14:textId="77777777" w:rsidTr="00274783">
        <w:trPr>
          <w:trHeight w:val="339"/>
        </w:trPr>
        <w:tc>
          <w:tcPr>
            <w:tcW w:w="4673" w:type="dxa"/>
            <w:vAlign w:val="center"/>
          </w:tcPr>
          <w:p w14:paraId="03A2B081" w14:textId="1F0F6B4D" w:rsidR="008D5447" w:rsidRDefault="008D5447" w:rsidP="00274783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&amp; position:</w:t>
            </w:r>
          </w:p>
        </w:tc>
        <w:tc>
          <w:tcPr>
            <w:tcW w:w="1539" w:type="dxa"/>
            <w:vAlign w:val="center"/>
          </w:tcPr>
          <w:p w14:paraId="135A0408" w14:textId="2D943553" w:rsidR="008D5447" w:rsidRDefault="008D5447" w:rsidP="00274783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3596" w:type="dxa"/>
            <w:vAlign w:val="center"/>
          </w:tcPr>
          <w:p w14:paraId="7F595F19" w14:textId="29CE8E84" w:rsidR="008D5447" w:rsidRDefault="008D5447" w:rsidP="00274783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</w:t>
            </w:r>
          </w:p>
        </w:tc>
      </w:tr>
      <w:tr w:rsidR="00274783" w14:paraId="38BBE9B8" w14:textId="77777777" w:rsidTr="00274783">
        <w:trPr>
          <w:trHeight w:val="419"/>
        </w:trPr>
        <w:tc>
          <w:tcPr>
            <w:tcW w:w="4673" w:type="dxa"/>
            <w:vAlign w:val="center"/>
          </w:tcPr>
          <w:p w14:paraId="387F1964" w14:textId="77777777" w:rsidR="00274783" w:rsidRDefault="00274783" w:rsidP="00274783">
            <w:pPr>
              <w:spacing w:after="240" w:line="276" w:lineRule="auto"/>
              <w:rPr>
                <w:rFonts w:cs="Arial"/>
                <w:szCs w:val="22"/>
              </w:rPr>
            </w:pPr>
          </w:p>
        </w:tc>
        <w:tc>
          <w:tcPr>
            <w:tcW w:w="1539" w:type="dxa"/>
            <w:vAlign w:val="center"/>
          </w:tcPr>
          <w:p w14:paraId="7EFDD73C" w14:textId="77777777" w:rsidR="00274783" w:rsidRDefault="00274783" w:rsidP="00274783">
            <w:pPr>
              <w:spacing w:after="240" w:line="276" w:lineRule="auto"/>
              <w:rPr>
                <w:rFonts w:cs="Arial"/>
                <w:szCs w:val="22"/>
              </w:rPr>
            </w:pPr>
          </w:p>
        </w:tc>
        <w:tc>
          <w:tcPr>
            <w:tcW w:w="3596" w:type="dxa"/>
            <w:vAlign w:val="center"/>
          </w:tcPr>
          <w:p w14:paraId="6B3704B1" w14:textId="77777777" w:rsidR="00274783" w:rsidRDefault="00274783" w:rsidP="00274783">
            <w:pPr>
              <w:spacing w:after="240" w:line="276" w:lineRule="auto"/>
              <w:rPr>
                <w:rFonts w:cs="Arial"/>
                <w:szCs w:val="22"/>
              </w:rPr>
            </w:pPr>
          </w:p>
        </w:tc>
      </w:tr>
    </w:tbl>
    <w:p w14:paraId="14A78981" w14:textId="77777777" w:rsidR="00254E53" w:rsidRDefault="00254E53" w:rsidP="0041688E">
      <w:pPr>
        <w:rPr>
          <w:b/>
          <w:bCs/>
        </w:rPr>
      </w:pPr>
    </w:p>
    <w:p w14:paraId="041939F8" w14:textId="77777777" w:rsidR="000475AC" w:rsidRDefault="000475AC" w:rsidP="00216790">
      <w:pPr>
        <w:spacing w:after="240"/>
        <w:rPr>
          <w:b/>
          <w:bCs/>
        </w:rPr>
      </w:pPr>
    </w:p>
    <w:p w14:paraId="4274CB41" w14:textId="77777777" w:rsidR="000475AC" w:rsidRDefault="000475AC" w:rsidP="00216790">
      <w:pPr>
        <w:spacing w:after="240"/>
        <w:rPr>
          <w:b/>
          <w:bCs/>
        </w:rPr>
      </w:pPr>
    </w:p>
    <w:p w14:paraId="265B73D4" w14:textId="77777777" w:rsidR="000475AC" w:rsidRDefault="000475AC" w:rsidP="00216790">
      <w:pPr>
        <w:spacing w:after="240"/>
        <w:rPr>
          <w:b/>
          <w:bCs/>
        </w:rPr>
      </w:pPr>
    </w:p>
    <w:p w14:paraId="042D268B" w14:textId="77777777" w:rsidR="000475AC" w:rsidRDefault="000475AC" w:rsidP="00216790">
      <w:pPr>
        <w:spacing w:after="240"/>
        <w:rPr>
          <w:b/>
          <w:bCs/>
        </w:rPr>
      </w:pPr>
    </w:p>
    <w:p w14:paraId="65A07200" w14:textId="77777777" w:rsidR="000475AC" w:rsidRDefault="000475AC" w:rsidP="00216790">
      <w:pPr>
        <w:spacing w:after="240"/>
        <w:rPr>
          <w:b/>
          <w:bCs/>
        </w:rPr>
      </w:pPr>
    </w:p>
    <w:p w14:paraId="26286A26" w14:textId="77777777" w:rsidR="000475AC" w:rsidRDefault="000475AC" w:rsidP="00216790">
      <w:pPr>
        <w:spacing w:after="240"/>
        <w:rPr>
          <w:b/>
          <w:bCs/>
        </w:rPr>
      </w:pPr>
    </w:p>
    <w:p w14:paraId="0ED85A49" w14:textId="77777777" w:rsidR="000475AC" w:rsidRDefault="000475AC" w:rsidP="00216790">
      <w:pPr>
        <w:spacing w:after="240"/>
        <w:rPr>
          <w:b/>
          <w:bCs/>
        </w:rPr>
      </w:pPr>
    </w:p>
    <w:p w14:paraId="0093438D" w14:textId="77777777" w:rsidR="000475AC" w:rsidRDefault="000475AC" w:rsidP="00216790">
      <w:pPr>
        <w:spacing w:after="240"/>
        <w:rPr>
          <w:b/>
          <w:bCs/>
        </w:rPr>
      </w:pPr>
    </w:p>
    <w:p w14:paraId="22D29CCB" w14:textId="77777777" w:rsidR="000475AC" w:rsidRDefault="000475AC" w:rsidP="00216790">
      <w:pPr>
        <w:spacing w:after="240"/>
        <w:rPr>
          <w:b/>
          <w:bCs/>
        </w:rPr>
      </w:pPr>
    </w:p>
    <w:p w14:paraId="199E62E9" w14:textId="77777777" w:rsidR="000475AC" w:rsidRDefault="000475AC" w:rsidP="00216790">
      <w:pPr>
        <w:spacing w:after="240"/>
        <w:rPr>
          <w:b/>
          <w:bCs/>
        </w:rPr>
      </w:pPr>
    </w:p>
    <w:p w14:paraId="392040FF" w14:textId="77777777" w:rsidR="000475AC" w:rsidRDefault="000475AC" w:rsidP="00216790">
      <w:pPr>
        <w:spacing w:after="240"/>
        <w:rPr>
          <w:b/>
          <w:bCs/>
        </w:rPr>
      </w:pPr>
    </w:p>
    <w:p w14:paraId="78708314" w14:textId="77777777" w:rsidR="000475AC" w:rsidRDefault="000475AC" w:rsidP="00216790">
      <w:pPr>
        <w:spacing w:after="240"/>
        <w:rPr>
          <w:b/>
          <w:bCs/>
        </w:rPr>
      </w:pPr>
    </w:p>
    <w:p w14:paraId="2CD956B9" w14:textId="77777777" w:rsidR="000475AC" w:rsidRDefault="000475AC" w:rsidP="00216790">
      <w:pPr>
        <w:spacing w:after="240"/>
        <w:rPr>
          <w:b/>
          <w:bCs/>
        </w:rPr>
      </w:pPr>
    </w:p>
    <w:p w14:paraId="64363EB1" w14:textId="227EBE80" w:rsidR="00C92983" w:rsidRPr="005E5C4E" w:rsidRDefault="00C92983" w:rsidP="00216790">
      <w:pPr>
        <w:spacing w:after="240"/>
        <w:rPr>
          <w:b/>
          <w:bCs/>
        </w:rPr>
      </w:pPr>
      <w:r w:rsidRPr="005E5C4E">
        <w:rPr>
          <w:b/>
          <w:bCs/>
        </w:rPr>
        <w:lastRenderedPageBreak/>
        <w:t>Decommissioning Guidance</w:t>
      </w:r>
    </w:p>
    <w:p w14:paraId="7142AD44" w14:textId="77777777" w:rsidR="00C92983" w:rsidRPr="00F01770" w:rsidRDefault="00C92983" w:rsidP="00C92983">
      <w:pPr>
        <w:rPr>
          <w:b/>
          <w:bCs/>
          <w:sz w:val="20"/>
          <w:szCs w:val="18"/>
        </w:rPr>
      </w:pPr>
      <w:r w:rsidRPr="00F01770">
        <w:rPr>
          <w:b/>
          <w:bCs/>
          <w:sz w:val="20"/>
          <w:szCs w:val="18"/>
        </w:rPr>
        <w:t>De-designation of Radiation Areas</w:t>
      </w:r>
    </w:p>
    <w:p w14:paraId="1B733630" w14:textId="163CBFFE" w:rsidR="00C92983" w:rsidRPr="00F01770" w:rsidRDefault="00C92983" w:rsidP="00C92983">
      <w:pPr>
        <w:rPr>
          <w:sz w:val="20"/>
          <w:szCs w:val="18"/>
        </w:rPr>
      </w:pPr>
      <w:r w:rsidRPr="00F01770">
        <w:rPr>
          <w:sz w:val="20"/>
          <w:szCs w:val="18"/>
        </w:rPr>
        <w:t>The RPS should de-designate areas or labs when no radiation work has been undertaken</w:t>
      </w:r>
      <w:r w:rsidR="00F01770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>for six months.</w:t>
      </w:r>
    </w:p>
    <w:p w14:paraId="4DA5F1E7" w14:textId="77777777" w:rsidR="00C22EB4" w:rsidRPr="00F01770" w:rsidRDefault="00C22EB4" w:rsidP="00C92983">
      <w:pPr>
        <w:rPr>
          <w:sz w:val="20"/>
          <w:szCs w:val="18"/>
        </w:rPr>
      </w:pPr>
    </w:p>
    <w:p w14:paraId="610E7BBD" w14:textId="48C21B4B" w:rsidR="00C92983" w:rsidRPr="00F01770" w:rsidRDefault="00C92983" w:rsidP="00063854">
      <w:pPr>
        <w:rPr>
          <w:sz w:val="20"/>
          <w:szCs w:val="18"/>
        </w:rPr>
      </w:pPr>
      <w:r w:rsidRPr="00F01770">
        <w:rPr>
          <w:sz w:val="20"/>
          <w:szCs w:val="18"/>
        </w:rPr>
        <w:t xml:space="preserve">At this point the RPS must undertake </w:t>
      </w:r>
      <w:r w:rsidR="00C22EB4" w:rsidRPr="00F01770">
        <w:rPr>
          <w:sz w:val="20"/>
          <w:szCs w:val="18"/>
        </w:rPr>
        <w:t xml:space="preserve">or supervise </w:t>
      </w:r>
      <w:r w:rsidRPr="00F01770">
        <w:rPr>
          <w:sz w:val="20"/>
          <w:szCs w:val="18"/>
        </w:rPr>
        <w:t xml:space="preserve">full contamination monitoring and any necessary </w:t>
      </w:r>
      <w:r w:rsidR="00F01770">
        <w:rPr>
          <w:sz w:val="20"/>
          <w:szCs w:val="18"/>
        </w:rPr>
        <w:t>d</w:t>
      </w:r>
      <w:r w:rsidRPr="00F01770">
        <w:rPr>
          <w:sz w:val="20"/>
          <w:szCs w:val="18"/>
        </w:rPr>
        <w:t>econtamination. Once decontaminated, signs and labels on entry doors, sinks and</w:t>
      </w:r>
      <w:r w:rsidR="00F01770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>equipment must be removed and not simply covered over as such coverings can become</w:t>
      </w:r>
      <w:r w:rsidR="00F01770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 xml:space="preserve">detached or misinterpreted. </w:t>
      </w:r>
    </w:p>
    <w:p w14:paraId="2EE2FC6B" w14:textId="77777777" w:rsidR="00063854" w:rsidRPr="00F01770" w:rsidRDefault="00063854" w:rsidP="00C92983">
      <w:pPr>
        <w:rPr>
          <w:sz w:val="20"/>
          <w:szCs w:val="18"/>
        </w:rPr>
      </w:pPr>
    </w:p>
    <w:p w14:paraId="421214EB" w14:textId="2F131F22" w:rsidR="00C92983" w:rsidRPr="00F01770" w:rsidRDefault="00063854" w:rsidP="00C92983">
      <w:pPr>
        <w:rPr>
          <w:sz w:val="20"/>
          <w:szCs w:val="18"/>
        </w:rPr>
      </w:pPr>
      <w:r w:rsidRPr="00F01770">
        <w:rPr>
          <w:sz w:val="20"/>
          <w:szCs w:val="18"/>
        </w:rPr>
        <w:t>This decommissioning form</w:t>
      </w:r>
      <w:r w:rsidR="00C92983" w:rsidRPr="00F01770">
        <w:rPr>
          <w:sz w:val="20"/>
          <w:szCs w:val="18"/>
        </w:rPr>
        <w:t xml:space="preserve"> must be filled out. Keep it for your records and email a</w:t>
      </w:r>
      <w:r w:rsidR="00F01770">
        <w:rPr>
          <w:sz w:val="20"/>
          <w:szCs w:val="18"/>
        </w:rPr>
        <w:t xml:space="preserve"> </w:t>
      </w:r>
      <w:r w:rsidR="00C92983" w:rsidRPr="00F01770">
        <w:rPr>
          <w:sz w:val="20"/>
          <w:szCs w:val="18"/>
        </w:rPr>
        <w:t xml:space="preserve">copy to the </w:t>
      </w:r>
      <w:r w:rsidRPr="00F01770">
        <w:rPr>
          <w:sz w:val="20"/>
          <w:szCs w:val="18"/>
        </w:rPr>
        <w:t>H&amp;S Department</w:t>
      </w:r>
      <w:r w:rsidR="00C92983" w:rsidRPr="00F01770">
        <w:rPr>
          <w:sz w:val="20"/>
          <w:szCs w:val="18"/>
        </w:rPr>
        <w:t xml:space="preserve"> at </w:t>
      </w:r>
      <w:hyperlink r:id="rId12" w:history="1">
        <w:r w:rsidRPr="00F01770">
          <w:rPr>
            <w:rStyle w:val="Hyperlink"/>
            <w:sz w:val="20"/>
            <w:szCs w:val="18"/>
          </w:rPr>
          <w:t>H&amp;S@Nottingham.ac.uk</w:t>
        </w:r>
      </w:hyperlink>
      <w:r w:rsidRPr="00F01770">
        <w:rPr>
          <w:sz w:val="20"/>
          <w:szCs w:val="18"/>
        </w:rPr>
        <w:t xml:space="preserve"> </w:t>
      </w:r>
      <w:r w:rsidR="00685673">
        <w:rPr>
          <w:sz w:val="20"/>
          <w:szCs w:val="18"/>
        </w:rPr>
        <w:t>for the attention of the H&amp;S Advisor (Radiation).</w:t>
      </w:r>
    </w:p>
    <w:p w14:paraId="00D7FFF9" w14:textId="77777777" w:rsidR="00063854" w:rsidRPr="00F01770" w:rsidRDefault="00063854" w:rsidP="00C92983">
      <w:pPr>
        <w:rPr>
          <w:sz w:val="20"/>
          <w:szCs w:val="18"/>
        </w:rPr>
      </w:pPr>
    </w:p>
    <w:p w14:paraId="4AB95C2E" w14:textId="7983B278" w:rsidR="00C92983" w:rsidRPr="00F01770" w:rsidRDefault="00C92983" w:rsidP="00C92983">
      <w:pPr>
        <w:rPr>
          <w:b/>
          <w:bCs/>
          <w:sz w:val="20"/>
          <w:szCs w:val="18"/>
        </w:rPr>
      </w:pPr>
      <w:r w:rsidRPr="00F01770">
        <w:rPr>
          <w:b/>
          <w:bCs/>
          <w:sz w:val="20"/>
          <w:szCs w:val="18"/>
        </w:rPr>
        <w:t>Decommissioning of Radiation Areas</w:t>
      </w:r>
    </w:p>
    <w:p w14:paraId="4C629C95" w14:textId="77777777" w:rsidR="00063854" w:rsidRPr="00F01770" w:rsidRDefault="00063854" w:rsidP="00C92983">
      <w:pPr>
        <w:rPr>
          <w:b/>
          <w:bCs/>
          <w:sz w:val="20"/>
          <w:szCs w:val="18"/>
        </w:rPr>
      </w:pPr>
    </w:p>
    <w:p w14:paraId="061FCA1C" w14:textId="5776D10D" w:rsidR="00C92983" w:rsidRPr="00F01770" w:rsidRDefault="00C92983" w:rsidP="00C92983">
      <w:pPr>
        <w:rPr>
          <w:sz w:val="20"/>
          <w:szCs w:val="18"/>
        </w:rPr>
      </w:pPr>
      <w:r w:rsidRPr="00F01770">
        <w:rPr>
          <w:sz w:val="20"/>
          <w:szCs w:val="18"/>
        </w:rPr>
        <w:t>Decommissioning is defined as taking a laboratory out of use for work with radioactive</w:t>
      </w:r>
      <w:r w:rsidR="00F01770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>materials for the foreseeable future for any of the following reasons:</w:t>
      </w:r>
    </w:p>
    <w:p w14:paraId="0C993884" w14:textId="7B82E386" w:rsidR="00C92983" w:rsidRPr="0056128E" w:rsidRDefault="00C92983" w:rsidP="0056128E">
      <w:pPr>
        <w:pStyle w:val="ListParagraph"/>
        <w:numPr>
          <w:ilvl w:val="0"/>
          <w:numId w:val="15"/>
        </w:numPr>
        <w:rPr>
          <w:sz w:val="20"/>
          <w:szCs w:val="18"/>
        </w:rPr>
      </w:pPr>
      <w:r w:rsidRPr="0056128E">
        <w:rPr>
          <w:sz w:val="20"/>
          <w:szCs w:val="18"/>
        </w:rPr>
        <w:t>for hand-over to a contractor for refurbishment</w:t>
      </w:r>
    </w:p>
    <w:p w14:paraId="6D19D719" w14:textId="54335521" w:rsidR="00C92983" w:rsidRPr="0056128E" w:rsidRDefault="00C92983" w:rsidP="0056128E">
      <w:pPr>
        <w:pStyle w:val="ListParagraph"/>
        <w:numPr>
          <w:ilvl w:val="0"/>
          <w:numId w:val="15"/>
        </w:numPr>
        <w:rPr>
          <w:sz w:val="20"/>
          <w:szCs w:val="18"/>
        </w:rPr>
      </w:pPr>
      <w:r w:rsidRPr="0056128E">
        <w:rPr>
          <w:sz w:val="20"/>
          <w:szCs w:val="18"/>
        </w:rPr>
        <w:t>for hand-over to others who will not be using radioactive materials</w:t>
      </w:r>
    </w:p>
    <w:p w14:paraId="135DCE4D" w14:textId="01A334E4" w:rsidR="00C92983" w:rsidRPr="0056128E" w:rsidRDefault="00C92983" w:rsidP="0056128E">
      <w:pPr>
        <w:pStyle w:val="ListParagraph"/>
        <w:numPr>
          <w:ilvl w:val="0"/>
          <w:numId w:val="15"/>
        </w:numPr>
        <w:rPr>
          <w:sz w:val="20"/>
          <w:szCs w:val="18"/>
        </w:rPr>
      </w:pPr>
      <w:r w:rsidRPr="0056128E">
        <w:rPr>
          <w:sz w:val="20"/>
          <w:szCs w:val="18"/>
        </w:rPr>
        <w:t>work with radioactive materials has ceased.</w:t>
      </w:r>
    </w:p>
    <w:p w14:paraId="10C008F6" w14:textId="0189E84D" w:rsidR="00C92983" w:rsidRPr="0056128E" w:rsidRDefault="00C92983" w:rsidP="0056128E">
      <w:pPr>
        <w:pStyle w:val="ListParagraph"/>
        <w:numPr>
          <w:ilvl w:val="0"/>
          <w:numId w:val="15"/>
        </w:numPr>
        <w:rPr>
          <w:sz w:val="20"/>
          <w:szCs w:val="18"/>
        </w:rPr>
      </w:pPr>
      <w:r w:rsidRPr="0056128E">
        <w:rPr>
          <w:sz w:val="20"/>
          <w:szCs w:val="18"/>
        </w:rPr>
        <w:t>when those using radioactive materials vacate the space.</w:t>
      </w:r>
    </w:p>
    <w:p w14:paraId="179FB19C" w14:textId="362B6A56" w:rsidR="00C92983" w:rsidRDefault="00C92983" w:rsidP="00C92983">
      <w:pPr>
        <w:rPr>
          <w:sz w:val="20"/>
          <w:szCs w:val="18"/>
        </w:rPr>
      </w:pPr>
      <w:r w:rsidRPr="00F01770">
        <w:rPr>
          <w:sz w:val="20"/>
          <w:szCs w:val="18"/>
        </w:rPr>
        <w:t xml:space="preserve">The RPS </w:t>
      </w:r>
      <w:r w:rsidR="00A71058">
        <w:rPr>
          <w:sz w:val="20"/>
          <w:szCs w:val="18"/>
        </w:rPr>
        <w:t xml:space="preserve">or approved user </w:t>
      </w:r>
      <w:r w:rsidRPr="00F01770">
        <w:rPr>
          <w:sz w:val="20"/>
          <w:szCs w:val="18"/>
        </w:rPr>
        <w:t>must undertake full contamination monitoring and complete any necessary</w:t>
      </w:r>
      <w:r w:rsidR="00F01770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>decontamination. You must ensure that when decommissioning of radiation facilities takes</w:t>
      </w:r>
      <w:r w:rsidR="00F01770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>place, all work and storage areas, laboratory furniture and equipment is monitored for radiocontamination</w:t>
      </w:r>
      <w:r w:rsidR="00B954D4">
        <w:rPr>
          <w:sz w:val="20"/>
          <w:szCs w:val="18"/>
        </w:rPr>
        <w:t xml:space="preserve">, </w:t>
      </w:r>
      <w:r w:rsidRPr="00F01770">
        <w:rPr>
          <w:sz w:val="20"/>
          <w:szCs w:val="18"/>
        </w:rPr>
        <w:t>and decontaminated as much as reasonably practicable. Where possible this</w:t>
      </w:r>
      <w:r w:rsidR="00B954D4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>should be to background levels or if that is not possible at least to below the derived level of</w:t>
      </w:r>
      <w:r w:rsidR="00B954D4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>contamination for a public area before removal. This must be done before other personnel,</w:t>
      </w:r>
      <w:r w:rsidR="00B954D4">
        <w:rPr>
          <w:sz w:val="20"/>
          <w:szCs w:val="18"/>
        </w:rPr>
        <w:t xml:space="preserve"> </w:t>
      </w:r>
      <w:proofErr w:type="gramStart"/>
      <w:r w:rsidRPr="00F01770">
        <w:rPr>
          <w:sz w:val="20"/>
          <w:szCs w:val="18"/>
        </w:rPr>
        <w:t>contractors</w:t>
      </w:r>
      <w:proofErr w:type="gramEnd"/>
      <w:r w:rsidRPr="00F01770">
        <w:rPr>
          <w:sz w:val="20"/>
          <w:szCs w:val="18"/>
        </w:rPr>
        <w:t xml:space="preserve"> or staff, occupy the area.</w:t>
      </w:r>
    </w:p>
    <w:p w14:paraId="3A9B3292" w14:textId="77777777" w:rsidR="00B954D4" w:rsidRPr="00F01770" w:rsidRDefault="00B954D4" w:rsidP="00C92983">
      <w:pPr>
        <w:rPr>
          <w:sz w:val="20"/>
          <w:szCs w:val="18"/>
        </w:rPr>
      </w:pPr>
    </w:p>
    <w:p w14:paraId="24BDB3A2" w14:textId="1FEDC4A8" w:rsidR="00C92983" w:rsidRPr="00F01770" w:rsidRDefault="005C2E57" w:rsidP="00C92983">
      <w:pPr>
        <w:rPr>
          <w:sz w:val="20"/>
          <w:szCs w:val="18"/>
        </w:rPr>
      </w:pPr>
      <w:r>
        <w:rPr>
          <w:sz w:val="20"/>
          <w:szCs w:val="18"/>
        </w:rPr>
        <w:t xml:space="preserve">All documentation </w:t>
      </w:r>
      <w:r w:rsidR="00E84DA5">
        <w:rPr>
          <w:sz w:val="20"/>
          <w:szCs w:val="18"/>
        </w:rPr>
        <w:t xml:space="preserve">required as part of the decommissioning should be retained locally with copies </w:t>
      </w:r>
      <w:r w:rsidR="00F21117">
        <w:rPr>
          <w:sz w:val="20"/>
          <w:szCs w:val="18"/>
        </w:rPr>
        <w:t>sent to the H&amp;S Department.</w:t>
      </w:r>
    </w:p>
    <w:p w14:paraId="658F4532" w14:textId="7C2CE163" w:rsidR="00F15498" w:rsidRPr="00F01770" w:rsidRDefault="00C92983" w:rsidP="00F15498">
      <w:pPr>
        <w:rPr>
          <w:rFonts w:eastAsia="MS Mincho" w:cs="Arial"/>
          <w:color w:val="000000"/>
          <w:sz w:val="20"/>
          <w:lang w:eastAsia="en-GB"/>
        </w:rPr>
      </w:pPr>
      <w:r w:rsidRPr="00F01770">
        <w:rPr>
          <w:sz w:val="20"/>
          <w:szCs w:val="18"/>
        </w:rPr>
        <w:t xml:space="preserve">The RPO and RPA may </w:t>
      </w:r>
      <w:r w:rsidR="001C311C">
        <w:rPr>
          <w:sz w:val="20"/>
          <w:szCs w:val="18"/>
        </w:rPr>
        <w:t xml:space="preserve">need to </w:t>
      </w:r>
      <w:r w:rsidRPr="00F01770">
        <w:rPr>
          <w:sz w:val="20"/>
          <w:szCs w:val="18"/>
        </w:rPr>
        <w:t>assist with monitoring the laboratory for radio-contamination,</w:t>
      </w:r>
      <w:r w:rsidR="00494FBA">
        <w:rPr>
          <w:sz w:val="20"/>
          <w:szCs w:val="18"/>
        </w:rPr>
        <w:t xml:space="preserve"> </w:t>
      </w:r>
      <w:r w:rsidRPr="00F01770">
        <w:rPr>
          <w:sz w:val="20"/>
          <w:szCs w:val="18"/>
        </w:rPr>
        <w:t>however prior to any monitoring by the RPO / RPA, the RPS should ensure the following:</w:t>
      </w:r>
      <w:r w:rsidR="00F15498" w:rsidRPr="00F01770">
        <w:rPr>
          <w:rFonts w:eastAsia="MS Mincho" w:cs="Arial"/>
          <w:color w:val="000000"/>
          <w:sz w:val="20"/>
          <w:lang w:eastAsia="en-GB"/>
        </w:rPr>
        <w:t xml:space="preserve"> </w:t>
      </w:r>
    </w:p>
    <w:p w14:paraId="46F486AD" w14:textId="35CF1CC3" w:rsidR="00F15498" w:rsidRPr="00F01770" w:rsidRDefault="00F15498" w:rsidP="00F15498">
      <w:pPr>
        <w:rPr>
          <w:sz w:val="20"/>
          <w:szCs w:val="18"/>
        </w:rPr>
      </w:pPr>
      <w:r w:rsidRPr="00F01770">
        <w:rPr>
          <w:sz w:val="20"/>
          <w:szCs w:val="18"/>
        </w:rPr>
        <w:t>• all waste is disposed of</w:t>
      </w:r>
    </w:p>
    <w:p w14:paraId="7086A154" w14:textId="69E7ADEE" w:rsidR="00F15498" w:rsidRPr="00F15498" w:rsidRDefault="00F15498" w:rsidP="00F15498">
      <w:pPr>
        <w:rPr>
          <w:sz w:val="20"/>
          <w:szCs w:val="18"/>
        </w:rPr>
      </w:pPr>
      <w:r w:rsidRPr="00F15498">
        <w:rPr>
          <w:sz w:val="20"/>
          <w:szCs w:val="18"/>
        </w:rPr>
        <w:t>• all radio-chemicals are removed from the room, (and either disposed of or stored</w:t>
      </w:r>
      <w:r w:rsidRPr="00F01770">
        <w:rPr>
          <w:sz w:val="20"/>
          <w:szCs w:val="18"/>
        </w:rPr>
        <w:t xml:space="preserve"> </w:t>
      </w:r>
      <w:r w:rsidRPr="00F15498">
        <w:rPr>
          <w:sz w:val="20"/>
          <w:szCs w:val="18"/>
        </w:rPr>
        <w:t>appropriately elsewhere)</w:t>
      </w:r>
    </w:p>
    <w:p w14:paraId="550FA2BF" w14:textId="4A8468A9" w:rsidR="00F15498" w:rsidRPr="00F15498" w:rsidRDefault="00F15498" w:rsidP="00F15498">
      <w:pPr>
        <w:rPr>
          <w:sz w:val="20"/>
          <w:szCs w:val="18"/>
        </w:rPr>
      </w:pPr>
      <w:r w:rsidRPr="00F15498">
        <w:rPr>
          <w:sz w:val="20"/>
          <w:szCs w:val="18"/>
        </w:rPr>
        <w:t>• sinks and drainage are decontaminated to as low a level as possible. If after</w:t>
      </w:r>
      <w:r w:rsidR="00494FBA">
        <w:rPr>
          <w:sz w:val="20"/>
          <w:szCs w:val="18"/>
        </w:rPr>
        <w:t xml:space="preserve"> </w:t>
      </w:r>
      <w:r w:rsidR="00494FBA" w:rsidRPr="00F15498">
        <w:rPr>
          <w:sz w:val="20"/>
          <w:szCs w:val="18"/>
        </w:rPr>
        <w:t>decontamination,</w:t>
      </w:r>
      <w:r w:rsidRPr="00F15498">
        <w:rPr>
          <w:sz w:val="20"/>
          <w:szCs w:val="18"/>
        </w:rPr>
        <w:t xml:space="preserve"> there is still radioactivity present the pipework etc must be</w:t>
      </w:r>
      <w:r w:rsidR="00494FBA">
        <w:rPr>
          <w:sz w:val="20"/>
          <w:szCs w:val="18"/>
        </w:rPr>
        <w:t xml:space="preserve"> </w:t>
      </w:r>
      <w:r w:rsidRPr="00F15498">
        <w:rPr>
          <w:sz w:val="20"/>
          <w:szCs w:val="18"/>
        </w:rPr>
        <w:t>labelled as such.</w:t>
      </w:r>
    </w:p>
    <w:p w14:paraId="521F53B3" w14:textId="0F5A0368" w:rsidR="00F15498" w:rsidRPr="00F15498" w:rsidRDefault="00F15498" w:rsidP="00F15498">
      <w:pPr>
        <w:rPr>
          <w:sz w:val="20"/>
          <w:szCs w:val="18"/>
        </w:rPr>
      </w:pPr>
      <w:r w:rsidRPr="00F15498">
        <w:rPr>
          <w:sz w:val="20"/>
          <w:szCs w:val="18"/>
        </w:rPr>
        <w:t xml:space="preserve">• where tritium has been used, the area has been </w:t>
      </w:r>
      <w:proofErr w:type="gramStart"/>
      <w:r w:rsidRPr="00F15498">
        <w:rPr>
          <w:sz w:val="20"/>
          <w:szCs w:val="18"/>
        </w:rPr>
        <w:t>wipe</w:t>
      </w:r>
      <w:proofErr w:type="gramEnd"/>
      <w:r w:rsidRPr="00F15498">
        <w:rPr>
          <w:sz w:val="20"/>
          <w:szCs w:val="18"/>
        </w:rPr>
        <w:t xml:space="preserve"> tested and is free of</w:t>
      </w:r>
      <w:r w:rsidR="00494FBA">
        <w:rPr>
          <w:sz w:val="20"/>
          <w:szCs w:val="18"/>
        </w:rPr>
        <w:t xml:space="preserve"> </w:t>
      </w:r>
      <w:r w:rsidRPr="00F15498">
        <w:rPr>
          <w:sz w:val="20"/>
          <w:szCs w:val="18"/>
        </w:rPr>
        <w:t>contamination.</w:t>
      </w:r>
    </w:p>
    <w:p w14:paraId="164D31BE" w14:textId="4CEF6691" w:rsidR="00C92983" w:rsidRPr="00F01770" w:rsidRDefault="00F15498" w:rsidP="00494FBA">
      <w:pPr>
        <w:rPr>
          <w:sz w:val="20"/>
          <w:szCs w:val="18"/>
        </w:rPr>
      </w:pPr>
      <w:r w:rsidRPr="00F15498">
        <w:rPr>
          <w:sz w:val="20"/>
          <w:szCs w:val="18"/>
        </w:rPr>
        <w:t>All trefoil warning signs must be removed from furniture and equipment before disposal and</w:t>
      </w:r>
      <w:r w:rsidR="00494FBA">
        <w:rPr>
          <w:sz w:val="20"/>
          <w:szCs w:val="18"/>
        </w:rPr>
        <w:t xml:space="preserve"> </w:t>
      </w:r>
      <w:r w:rsidRPr="00F15498">
        <w:rPr>
          <w:sz w:val="20"/>
          <w:szCs w:val="18"/>
        </w:rPr>
        <w:t>the warning signs disposed of as solid radioactive waste.</w:t>
      </w:r>
      <w:r w:rsidR="00494FBA">
        <w:rPr>
          <w:sz w:val="20"/>
          <w:szCs w:val="18"/>
        </w:rPr>
        <w:t xml:space="preserve"> </w:t>
      </w:r>
      <w:r w:rsidRPr="00F15498">
        <w:rPr>
          <w:sz w:val="20"/>
          <w:szCs w:val="18"/>
        </w:rPr>
        <w:t xml:space="preserve">Where items cannot be </w:t>
      </w:r>
      <w:r w:rsidR="00494FBA" w:rsidRPr="00F15498">
        <w:rPr>
          <w:sz w:val="20"/>
          <w:szCs w:val="18"/>
        </w:rPr>
        <w:t>decontaminated,</w:t>
      </w:r>
      <w:r w:rsidRPr="00F15498">
        <w:rPr>
          <w:sz w:val="20"/>
          <w:szCs w:val="18"/>
        </w:rPr>
        <w:t xml:space="preserve"> they must be disposed of through </w:t>
      </w:r>
      <w:r w:rsidR="00494FBA">
        <w:rPr>
          <w:sz w:val="20"/>
          <w:szCs w:val="18"/>
        </w:rPr>
        <w:t>an approved disposal route</w:t>
      </w:r>
      <w:r w:rsidR="00D76D4E">
        <w:rPr>
          <w:sz w:val="20"/>
          <w:szCs w:val="18"/>
        </w:rPr>
        <w:t>.</w:t>
      </w:r>
    </w:p>
    <w:sectPr w:rsidR="00C92983" w:rsidRPr="00F01770" w:rsidSect="000F1A1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D398" w14:textId="77777777" w:rsidR="0030024D" w:rsidRDefault="0030024D" w:rsidP="00BE1E91">
      <w:r>
        <w:separator/>
      </w:r>
    </w:p>
    <w:p w14:paraId="096651CE" w14:textId="77777777" w:rsidR="0030024D" w:rsidRDefault="0030024D"/>
  </w:endnote>
  <w:endnote w:type="continuationSeparator" w:id="0">
    <w:p w14:paraId="4A00C5A6" w14:textId="77777777" w:rsidR="0030024D" w:rsidRDefault="0030024D" w:rsidP="00BE1E91">
      <w:r>
        <w:continuationSeparator/>
      </w:r>
    </w:p>
    <w:p w14:paraId="1AAB5F87" w14:textId="77777777" w:rsidR="0030024D" w:rsidRDefault="00300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dg Ves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088E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377E139E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-4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2"/>
      <w:gridCol w:w="2245"/>
      <w:gridCol w:w="4318"/>
    </w:tblGrid>
    <w:tr w:rsidR="0055095B" w:rsidRPr="00F0628A" w14:paraId="38511C89" w14:textId="77777777" w:rsidTr="001D3B23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0389E9DD" w14:textId="77777777" w:rsidR="0055095B" w:rsidRPr="00F0628A" w:rsidRDefault="0055095B" w:rsidP="0055095B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CDD84C5" w14:textId="4EC5991C" w:rsidR="0055095B" w:rsidRPr="00F0628A" w:rsidRDefault="0055095B" w:rsidP="0055095B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Page &lt; 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PAGE   \* MERGEFORMAT </w:instrTex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FB2DA5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3</w:t>
          </w:r>
          <w:r w:rsidRPr="00F0628A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 of &lt; 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NUMPAGES  \# "0" \* Arabic  \* MERGEFORMAT </w:instrTex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FB2DA5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3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93B7054" w14:textId="7642FDC5" w:rsidR="0055095B" w:rsidRPr="00F0628A" w:rsidRDefault="0055095B" w:rsidP="0055095B">
          <w:pPr>
            <w:tabs>
              <w:tab w:val="left" w:pos="2970"/>
              <w:tab w:val="right" w:pos="3967"/>
            </w:tabs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ab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ab/>
          </w:r>
          <w:r w:rsidR="00CF5181">
            <w:rPr>
              <w:rFonts w:ascii="Verdana" w:hAnsi="Verdana"/>
              <w:color w:val="191A4F"/>
              <w:sz w:val="16"/>
              <w:szCs w:val="16"/>
              <w:lang w:eastAsia="en-GB"/>
            </w:rPr>
            <w:t>Jul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202</w:t>
          </w:r>
          <w:r w:rsidR="002D54CC">
            <w:rPr>
              <w:rFonts w:ascii="Verdana" w:hAnsi="Verdana"/>
              <w:color w:val="191A4F"/>
              <w:sz w:val="16"/>
              <w:szCs w:val="16"/>
              <w:lang w:eastAsia="en-GB"/>
            </w:rPr>
            <w:t>3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</w:tr>
    <w:tr w:rsidR="0055095B" w:rsidRPr="00F0628A" w14:paraId="2D696E2C" w14:textId="77777777" w:rsidTr="001D3B23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AC07B54" w14:textId="7DF97B02" w:rsidR="0055095B" w:rsidRPr="00F0628A" w:rsidRDefault="0055095B" w:rsidP="0055095B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SAF-FOR-</w:t>
          </w:r>
          <w:r w:rsidR="00111A41">
            <w:rPr>
              <w:rFonts w:ascii="Verdana" w:hAnsi="Verdana"/>
              <w:color w:val="191A4F"/>
              <w:sz w:val="16"/>
              <w:szCs w:val="16"/>
              <w:lang w:eastAsia="en-GB"/>
            </w:rPr>
            <w:t>RAD-IR00</w:t>
          </w:r>
          <w:r w:rsidR="002B7FA2">
            <w:rPr>
              <w:rFonts w:ascii="Verdana" w:hAnsi="Verdana"/>
              <w:color w:val="191A4F"/>
              <w:sz w:val="16"/>
              <w:szCs w:val="16"/>
              <w:lang w:eastAsia="en-GB"/>
            </w:rPr>
            <w:t>8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5480AE6" w14:textId="77777777" w:rsidR="0055095B" w:rsidRPr="00F0628A" w:rsidRDefault="0055095B" w:rsidP="0055095B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Version 1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7D6FB0A" w14:textId="77777777" w:rsidR="0055095B" w:rsidRPr="00F0628A" w:rsidRDefault="0055095B" w:rsidP="0055095B">
          <w:pPr>
            <w:spacing w:line="240" w:lineRule="auto"/>
            <w:jc w:val="right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4"/>
              <w:szCs w:val="14"/>
              <w:lang w:eastAsia="en-GB"/>
            </w:rPr>
            <w:t>Refer to Health and Safety Department for latest version</w:t>
          </w:r>
          <w:r w:rsidRPr="00F0628A">
            <w:rPr>
              <w:rFonts w:ascii="Verdana" w:hAnsi="Verdana"/>
              <w:sz w:val="14"/>
              <w:szCs w:val="14"/>
              <w:lang w:eastAsia="en-GB"/>
            </w:rPr>
            <w:t> </w:t>
          </w:r>
        </w:p>
      </w:tc>
    </w:tr>
  </w:tbl>
  <w:p w14:paraId="04622E62" w14:textId="1E4A85A6" w:rsidR="00DC01F1" w:rsidRPr="0055095B" w:rsidRDefault="00DC01F1" w:rsidP="005509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-4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2"/>
      <w:gridCol w:w="2245"/>
      <w:gridCol w:w="4318"/>
    </w:tblGrid>
    <w:tr w:rsidR="0055095B" w:rsidRPr="00F0628A" w14:paraId="33FE8C2F" w14:textId="77777777" w:rsidTr="001D3B23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A0C12E" w14:textId="77777777" w:rsidR="0055095B" w:rsidRPr="00F0628A" w:rsidRDefault="0055095B" w:rsidP="0055095B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21FEB95" w14:textId="7FD05BCA" w:rsidR="0055095B" w:rsidRPr="00F0628A" w:rsidRDefault="0055095B" w:rsidP="0055095B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Page &lt; 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PAGE   \* MERGEFORMAT </w:instrTex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FB2DA5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1</w:t>
          </w:r>
          <w:r w:rsidRPr="00F0628A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 of &lt; 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NUMPAGES  \# "0" \* Arabic  \* MERGEFORMAT </w:instrTex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FB2DA5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3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D9DA638" w14:textId="01ED9F73" w:rsidR="0055095B" w:rsidRPr="00F0628A" w:rsidRDefault="0055095B" w:rsidP="0055095B">
          <w:pPr>
            <w:tabs>
              <w:tab w:val="left" w:pos="2970"/>
              <w:tab w:val="right" w:pos="3967"/>
            </w:tabs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ab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ab/>
          </w:r>
          <w:r w:rsidR="00CF5181">
            <w:rPr>
              <w:rFonts w:ascii="Verdana" w:hAnsi="Verdana"/>
              <w:color w:val="191A4F"/>
              <w:sz w:val="16"/>
              <w:szCs w:val="16"/>
              <w:lang w:eastAsia="en-GB"/>
            </w:rPr>
            <w:t>Jul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202</w:t>
          </w:r>
          <w:r w:rsidR="00CF5181">
            <w:rPr>
              <w:rFonts w:ascii="Verdana" w:hAnsi="Verdana"/>
              <w:color w:val="191A4F"/>
              <w:sz w:val="16"/>
              <w:szCs w:val="16"/>
              <w:lang w:eastAsia="en-GB"/>
            </w:rPr>
            <w:t>3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</w:tr>
    <w:tr w:rsidR="0055095B" w:rsidRPr="00F0628A" w14:paraId="02EBAA13" w14:textId="77777777" w:rsidTr="001D3B23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754B8BF" w14:textId="510EA88A" w:rsidR="0055095B" w:rsidRPr="00F0628A" w:rsidRDefault="0055095B" w:rsidP="00811693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SAF-FOR-</w:t>
          </w:r>
          <w:r w:rsidR="00111A41">
            <w:rPr>
              <w:rFonts w:ascii="Verdana" w:hAnsi="Verdana"/>
              <w:color w:val="191A4F"/>
              <w:sz w:val="16"/>
              <w:szCs w:val="16"/>
              <w:lang w:eastAsia="en-GB"/>
            </w:rPr>
            <w:t>RAD-IR00</w:t>
          </w:r>
          <w:r w:rsidR="00811693">
            <w:rPr>
              <w:rFonts w:ascii="Verdana" w:hAnsi="Verdana"/>
              <w:color w:val="191A4F"/>
              <w:sz w:val="16"/>
              <w:szCs w:val="16"/>
              <w:lang w:eastAsia="en-GB"/>
            </w:rPr>
            <w:t>8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84050C7" w14:textId="77777777" w:rsidR="0055095B" w:rsidRPr="00F0628A" w:rsidRDefault="0055095B" w:rsidP="0055095B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Version 1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667B084" w14:textId="77777777" w:rsidR="0055095B" w:rsidRPr="00F0628A" w:rsidRDefault="0055095B" w:rsidP="0055095B">
          <w:pPr>
            <w:spacing w:line="240" w:lineRule="auto"/>
            <w:jc w:val="right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4"/>
              <w:szCs w:val="14"/>
              <w:lang w:eastAsia="en-GB"/>
            </w:rPr>
            <w:t>Refer to Health and Safety Department for latest version</w:t>
          </w:r>
          <w:r w:rsidRPr="00F0628A">
            <w:rPr>
              <w:rFonts w:ascii="Verdana" w:hAnsi="Verdana"/>
              <w:sz w:val="14"/>
              <w:szCs w:val="14"/>
              <w:lang w:eastAsia="en-GB"/>
            </w:rPr>
            <w:t> </w:t>
          </w:r>
        </w:p>
      </w:tc>
    </w:tr>
  </w:tbl>
  <w:p w14:paraId="133B7DBC" w14:textId="77777777" w:rsidR="00FB3F55" w:rsidRPr="0055095B" w:rsidRDefault="00FB3F55" w:rsidP="00550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445F" w14:textId="77777777" w:rsidR="0030024D" w:rsidRDefault="0030024D" w:rsidP="00BE1E91">
      <w:r>
        <w:separator/>
      </w:r>
    </w:p>
    <w:p w14:paraId="7173D55D" w14:textId="77777777" w:rsidR="0030024D" w:rsidRDefault="0030024D"/>
  </w:footnote>
  <w:footnote w:type="continuationSeparator" w:id="0">
    <w:p w14:paraId="772A25C2" w14:textId="77777777" w:rsidR="0030024D" w:rsidRDefault="0030024D" w:rsidP="00BE1E91">
      <w:r>
        <w:continuationSeparator/>
      </w:r>
    </w:p>
    <w:p w14:paraId="26F7899A" w14:textId="77777777" w:rsidR="0030024D" w:rsidRDefault="00300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AAA5" w14:textId="31D00681" w:rsidR="00DC01F1" w:rsidRDefault="00FB2DA5">
    <w:r>
      <w:rPr>
        <w:b/>
        <w:color w:val="003466"/>
        <w:sz w:val="14"/>
        <w:szCs w:val="14"/>
        <w:lang w:val="en-US"/>
      </w:rPr>
      <w:t>IR008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B015" w14:textId="00AAA104" w:rsidR="00F35EF9" w:rsidRPr="002B278C" w:rsidRDefault="00810CD2" w:rsidP="00FB2DA5">
    <w:pPr>
      <w:widowControl w:val="0"/>
      <w:autoSpaceDE w:val="0"/>
      <w:autoSpaceDN w:val="0"/>
      <w:adjustRightInd w:val="0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70B3DB5" wp14:editId="2A9255A4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159000" cy="797560"/>
          <wp:effectExtent l="0" t="0" r="0" b="254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3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DA5">
      <w:rPr>
        <w:b/>
        <w:color w:val="003466"/>
        <w:sz w:val="14"/>
        <w:szCs w:val="14"/>
        <w:lang w:val="en-US"/>
      </w:rPr>
      <w:t>IR008</w:t>
    </w:r>
  </w:p>
  <w:p w14:paraId="2C366FCA" w14:textId="158B9ED6"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0C4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A468F0"/>
    <w:multiLevelType w:val="multilevel"/>
    <w:tmpl w:val="3CE6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CD0E9D"/>
    <w:multiLevelType w:val="multilevel"/>
    <w:tmpl w:val="80CC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C1409"/>
    <w:multiLevelType w:val="hybridMultilevel"/>
    <w:tmpl w:val="9142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3B60"/>
    <w:multiLevelType w:val="hybridMultilevel"/>
    <w:tmpl w:val="33AA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04919"/>
    <w:multiLevelType w:val="hybridMultilevel"/>
    <w:tmpl w:val="45424D46"/>
    <w:lvl w:ilvl="0" w:tplc="B2C4A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869C4"/>
    <w:multiLevelType w:val="hybridMultilevel"/>
    <w:tmpl w:val="9E849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4F89"/>
    <w:multiLevelType w:val="hybridMultilevel"/>
    <w:tmpl w:val="8752CA74"/>
    <w:lvl w:ilvl="0" w:tplc="08CA945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90DEE"/>
    <w:multiLevelType w:val="hybridMultilevel"/>
    <w:tmpl w:val="4BDE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14467">
    <w:abstractNumId w:val="16"/>
  </w:num>
  <w:num w:numId="2" w16cid:durableId="1234702752">
    <w:abstractNumId w:val="7"/>
  </w:num>
  <w:num w:numId="3" w16cid:durableId="1538203544">
    <w:abstractNumId w:val="10"/>
  </w:num>
  <w:num w:numId="4" w16cid:durableId="399060263">
    <w:abstractNumId w:val="12"/>
  </w:num>
  <w:num w:numId="5" w16cid:durableId="1593969806">
    <w:abstractNumId w:val="0"/>
  </w:num>
  <w:num w:numId="6" w16cid:durableId="1939286323">
    <w:abstractNumId w:val="1"/>
  </w:num>
  <w:num w:numId="7" w16cid:durableId="96944253">
    <w:abstractNumId w:val="9"/>
  </w:num>
  <w:num w:numId="8" w16cid:durableId="747339383">
    <w:abstractNumId w:val="14"/>
  </w:num>
  <w:num w:numId="9" w16cid:durableId="2068601551">
    <w:abstractNumId w:val="11"/>
  </w:num>
  <w:num w:numId="10" w16cid:durableId="282880339">
    <w:abstractNumId w:val="5"/>
  </w:num>
  <w:num w:numId="11" w16cid:durableId="730468775">
    <w:abstractNumId w:val="15"/>
  </w:num>
  <w:num w:numId="12" w16cid:durableId="2082557121">
    <w:abstractNumId w:val="6"/>
  </w:num>
  <w:num w:numId="13" w16cid:durableId="592520532">
    <w:abstractNumId w:val="2"/>
  </w:num>
  <w:num w:numId="14" w16cid:durableId="1867479322">
    <w:abstractNumId w:val="13"/>
  </w:num>
  <w:num w:numId="15" w16cid:durableId="1188102190">
    <w:abstractNumId w:val="8"/>
  </w:num>
  <w:num w:numId="16" w16cid:durableId="776683793">
    <w:abstractNumId w:val="3"/>
  </w:num>
  <w:num w:numId="17" w16cid:durableId="69993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FB"/>
    <w:rsid w:val="0000072C"/>
    <w:rsid w:val="00003459"/>
    <w:rsid w:val="00030BF3"/>
    <w:rsid w:val="00036372"/>
    <w:rsid w:val="000453BE"/>
    <w:rsid w:val="000475AC"/>
    <w:rsid w:val="00063854"/>
    <w:rsid w:val="00070181"/>
    <w:rsid w:val="000A14A7"/>
    <w:rsid w:val="000B2BEB"/>
    <w:rsid w:val="000F1A16"/>
    <w:rsid w:val="0010395B"/>
    <w:rsid w:val="00103D62"/>
    <w:rsid w:val="00111A41"/>
    <w:rsid w:val="001239B3"/>
    <w:rsid w:val="00126A34"/>
    <w:rsid w:val="00134FFF"/>
    <w:rsid w:val="00147746"/>
    <w:rsid w:val="00172FCE"/>
    <w:rsid w:val="0017588C"/>
    <w:rsid w:val="00180F85"/>
    <w:rsid w:val="001B1DAD"/>
    <w:rsid w:val="001B6AB5"/>
    <w:rsid w:val="001C12BA"/>
    <w:rsid w:val="001C311C"/>
    <w:rsid w:val="001C5041"/>
    <w:rsid w:val="001C569B"/>
    <w:rsid w:val="001C7CB2"/>
    <w:rsid w:val="001D1876"/>
    <w:rsid w:val="001D32AC"/>
    <w:rsid w:val="001F373A"/>
    <w:rsid w:val="002134FC"/>
    <w:rsid w:val="00215913"/>
    <w:rsid w:val="002159BA"/>
    <w:rsid w:val="00216790"/>
    <w:rsid w:val="002214C4"/>
    <w:rsid w:val="0023273A"/>
    <w:rsid w:val="00232C24"/>
    <w:rsid w:val="00234588"/>
    <w:rsid w:val="00241D02"/>
    <w:rsid w:val="00254987"/>
    <w:rsid w:val="00254E53"/>
    <w:rsid w:val="00263730"/>
    <w:rsid w:val="002667A3"/>
    <w:rsid w:val="00274783"/>
    <w:rsid w:val="00295781"/>
    <w:rsid w:val="002B278C"/>
    <w:rsid w:val="002B6589"/>
    <w:rsid w:val="002B7FA2"/>
    <w:rsid w:val="002C428E"/>
    <w:rsid w:val="002C68D5"/>
    <w:rsid w:val="002D5260"/>
    <w:rsid w:val="002D54CC"/>
    <w:rsid w:val="002E3103"/>
    <w:rsid w:val="002E5244"/>
    <w:rsid w:val="002E67E6"/>
    <w:rsid w:val="0030024D"/>
    <w:rsid w:val="00301BC9"/>
    <w:rsid w:val="00303718"/>
    <w:rsid w:val="0032198A"/>
    <w:rsid w:val="0032216F"/>
    <w:rsid w:val="003347AF"/>
    <w:rsid w:val="00341BF0"/>
    <w:rsid w:val="003639E2"/>
    <w:rsid w:val="003679F4"/>
    <w:rsid w:val="003809E4"/>
    <w:rsid w:val="003A2CA4"/>
    <w:rsid w:val="003A449D"/>
    <w:rsid w:val="003B1787"/>
    <w:rsid w:val="003B483E"/>
    <w:rsid w:val="003C7864"/>
    <w:rsid w:val="003D2ABF"/>
    <w:rsid w:val="003E47B2"/>
    <w:rsid w:val="003E560C"/>
    <w:rsid w:val="003F2B91"/>
    <w:rsid w:val="00415B3D"/>
    <w:rsid w:val="0041688E"/>
    <w:rsid w:val="004176FC"/>
    <w:rsid w:val="004346AA"/>
    <w:rsid w:val="00440E5A"/>
    <w:rsid w:val="004422EE"/>
    <w:rsid w:val="00454E8B"/>
    <w:rsid w:val="00457632"/>
    <w:rsid w:val="00460FD5"/>
    <w:rsid w:val="00463497"/>
    <w:rsid w:val="00470CD9"/>
    <w:rsid w:val="00482C61"/>
    <w:rsid w:val="00494FBA"/>
    <w:rsid w:val="004953D2"/>
    <w:rsid w:val="004A0183"/>
    <w:rsid w:val="004A4DBF"/>
    <w:rsid w:val="004B0621"/>
    <w:rsid w:val="004D3DC2"/>
    <w:rsid w:val="00516541"/>
    <w:rsid w:val="005357EE"/>
    <w:rsid w:val="005405F4"/>
    <w:rsid w:val="0055095B"/>
    <w:rsid w:val="005549D5"/>
    <w:rsid w:val="00557770"/>
    <w:rsid w:val="0056128E"/>
    <w:rsid w:val="00561ED0"/>
    <w:rsid w:val="00562893"/>
    <w:rsid w:val="00570DE2"/>
    <w:rsid w:val="005C185C"/>
    <w:rsid w:val="005C2E57"/>
    <w:rsid w:val="005E5C4E"/>
    <w:rsid w:val="005F0F20"/>
    <w:rsid w:val="005F467B"/>
    <w:rsid w:val="005F504D"/>
    <w:rsid w:val="006009B0"/>
    <w:rsid w:val="00600D0D"/>
    <w:rsid w:val="00603E33"/>
    <w:rsid w:val="00626E44"/>
    <w:rsid w:val="00632AEE"/>
    <w:rsid w:val="006374AD"/>
    <w:rsid w:val="0065012E"/>
    <w:rsid w:val="006508A8"/>
    <w:rsid w:val="00650DBA"/>
    <w:rsid w:val="006558AC"/>
    <w:rsid w:val="00680CF7"/>
    <w:rsid w:val="00685673"/>
    <w:rsid w:val="00696C90"/>
    <w:rsid w:val="006A32CB"/>
    <w:rsid w:val="006A56B4"/>
    <w:rsid w:val="006A7942"/>
    <w:rsid w:val="006D66DB"/>
    <w:rsid w:val="006E1F12"/>
    <w:rsid w:val="006E6095"/>
    <w:rsid w:val="006E6FBE"/>
    <w:rsid w:val="006F5958"/>
    <w:rsid w:val="00703BFF"/>
    <w:rsid w:val="007104B6"/>
    <w:rsid w:val="00711C14"/>
    <w:rsid w:val="0072165D"/>
    <w:rsid w:val="00732E0F"/>
    <w:rsid w:val="0073453E"/>
    <w:rsid w:val="00763797"/>
    <w:rsid w:val="007706C2"/>
    <w:rsid w:val="00774955"/>
    <w:rsid w:val="00780580"/>
    <w:rsid w:val="0079114E"/>
    <w:rsid w:val="007A1ACB"/>
    <w:rsid w:val="007E2EA5"/>
    <w:rsid w:val="0080287E"/>
    <w:rsid w:val="0080298B"/>
    <w:rsid w:val="00810CD2"/>
    <w:rsid w:val="00811693"/>
    <w:rsid w:val="00815591"/>
    <w:rsid w:val="0082383F"/>
    <w:rsid w:val="00840FF5"/>
    <w:rsid w:val="008418C9"/>
    <w:rsid w:val="008737D0"/>
    <w:rsid w:val="0087649C"/>
    <w:rsid w:val="0088259E"/>
    <w:rsid w:val="00890706"/>
    <w:rsid w:val="00896332"/>
    <w:rsid w:val="008A28BA"/>
    <w:rsid w:val="008B3198"/>
    <w:rsid w:val="008D5447"/>
    <w:rsid w:val="008E35D0"/>
    <w:rsid w:val="009051B4"/>
    <w:rsid w:val="009064D0"/>
    <w:rsid w:val="009304B2"/>
    <w:rsid w:val="00953E79"/>
    <w:rsid w:val="00961D0D"/>
    <w:rsid w:val="009658FB"/>
    <w:rsid w:val="009749FC"/>
    <w:rsid w:val="00975D31"/>
    <w:rsid w:val="0097701C"/>
    <w:rsid w:val="00987E2A"/>
    <w:rsid w:val="009A5DDE"/>
    <w:rsid w:val="009C7A6F"/>
    <w:rsid w:val="009D270F"/>
    <w:rsid w:val="009D5494"/>
    <w:rsid w:val="009E049C"/>
    <w:rsid w:val="009E34EB"/>
    <w:rsid w:val="009E3AF3"/>
    <w:rsid w:val="009E55EA"/>
    <w:rsid w:val="00A052D5"/>
    <w:rsid w:val="00A10621"/>
    <w:rsid w:val="00A22BEB"/>
    <w:rsid w:val="00A3046D"/>
    <w:rsid w:val="00A314C8"/>
    <w:rsid w:val="00A374BB"/>
    <w:rsid w:val="00A43A3D"/>
    <w:rsid w:val="00A563DF"/>
    <w:rsid w:val="00A60CAB"/>
    <w:rsid w:val="00A66B4C"/>
    <w:rsid w:val="00A71058"/>
    <w:rsid w:val="00A7787B"/>
    <w:rsid w:val="00A823C3"/>
    <w:rsid w:val="00A8751D"/>
    <w:rsid w:val="00A91B58"/>
    <w:rsid w:val="00A94197"/>
    <w:rsid w:val="00AB5316"/>
    <w:rsid w:val="00AD5D27"/>
    <w:rsid w:val="00AD768F"/>
    <w:rsid w:val="00B001F0"/>
    <w:rsid w:val="00B03D07"/>
    <w:rsid w:val="00B12E85"/>
    <w:rsid w:val="00B31A42"/>
    <w:rsid w:val="00B31CCC"/>
    <w:rsid w:val="00B40EA0"/>
    <w:rsid w:val="00B43B29"/>
    <w:rsid w:val="00B450E7"/>
    <w:rsid w:val="00B46309"/>
    <w:rsid w:val="00B72598"/>
    <w:rsid w:val="00B776EF"/>
    <w:rsid w:val="00B928EA"/>
    <w:rsid w:val="00B954D4"/>
    <w:rsid w:val="00B96ED3"/>
    <w:rsid w:val="00BB1EBB"/>
    <w:rsid w:val="00BB2F0D"/>
    <w:rsid w:val="00BC0493"/>
    <w:rsid w:val="00BC4E98"/>
    <w:rsid w:val="00BC68B7"/>
    <w:rsid w:val="00BD26F9"/>
    <w:rsid w:val="00BE1E91"/>
    <w:rsid w:val="00BE36BA"/>
    <w:rsid w:val="00BF5085"/>
    <w:rsid w:val="00C02A8C"/>
    <w:rsid w:val="00C06FCF"/>
    <w:rsid w:val="00C11DF5"/>
    <w:rsid w:val="00C225C4"/>
    <w:rsid w:val="00C22DBD"/>
    <w:rsid w:val="00C22EB4"/>
    <w:rsid w:val="00C25669"/>
    <w:rsid w:val="00C33A94"/>
    <w:rsid w:val="00C6110E"/>
    <w:rsid w:val="00C6526E"/>
    <w:rsid w:val="00C80AFB"/>
    <w:rsid w:val="00C92983"/>
    <w:rsid w:val="00CC3364"/>
    <w:rsid w:val="00CD62B8"/>
    <w:rsid w:val="00CD6CE9"/>
    <w:rsid w:val="00CE6609"/>
    <w:rsid w:val="00CF0DF5"/>
    <w:rsid w:val="00CF5181"/>
    <w:rsid w:val="00CF7F59"/>
    <w:rsid w:val="00D04ECD"/>
    <w:rsid w:val="00D06EC1"/>
    <w:rsid w:val="00D1200B"/>
    <w:rsid w:val="00D129F0"/>
    <w:rsid w:val="00D12B71"/>
    <w:rsid w:val="00D1385E"/>
    <w:rsid w:val="00D15917"/>
    <w:rsid w:val="00D21D37"/>
    <w:rsid w:val="00D427E5"/>
    <w:rsid w:val="00D71F2F"/>
    <w:rsid w:val="00D76555"/>
    <w:rsid w:val="00D76D4E"/>
    <w:rsid w:val="00D855D7"/>
    <w:rsid w:val="00D9219F"/>
    <w:rsid w:val="00D92F7B"/>
    <w:rsid w:val="00DB40D1"/>
    <w:rsid w:val="00DC01F1"/>
    <w:rsid w:val="00DD5C57"/>
    <w:rsid w:val="00DF2722"/>
    <w:rsid w:val="00E02517"/>
    <w:rsid w:val="00E028AF"/>
    <w:rsid w:val="00E229A1"/>
    <w:rsid w:val="00E246FE"/>
    <w:rsid w:val="00E439C0"/>
    <w:rsid w:val="00E47FFA"/>
    <w:rsid w:val="00E5315B"/>
    <w:rsid w:val="00E63E69"/>
    <w:rsid w:val="00E72BEB"/>
    <w:rsid w:val="00E81D70"/>
    <w:rsid w:val="00E84542"/>
    <w:rsid w:val="00E84DA5"/>
    <w:rsid w:val="00EA2D79"/>
    <w:rsid w:val="00EB5881"/>
    <w:rsid w:val="00EB61EB"/>
    <w:rsid w:val="00EC3EF0"/>
    <w:rsid w:val="00EE6634"/>
    <w:rsid w:val="00EF70A7"/>
    <w:rsid w:val="00F01770"/>
    <w:rsid w:val="00F01A37"/>
    <w:rsid w:val="00F15498"/>
    <w:rsid w:val="00F21117"/>
    <w:rsid w:val="00F35EF9"/>
    <w:rsid w:val="00F5563F"/>
    <w:rsid w:val="00F65ABC"/>
    <w:rsid w:val="00F66292"/>
    <w:rsid w:val="00F85725"/>
    <w:rsid w:val="00F86C80"/>
    <w:rsid w:val="00FA56B8"/>
    <w:rsid w:val="00FB2CE0"/>
    <w:rsid w:val="00FB2DA5"/>
    <w:rsid w:val="00FB3F55"/>
    <w:rsid w:val="00FC4A9D"/>
    <w:rsid w:val="00FC76AD"/>
    <w:rsid w:val="00FE2AE2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20171B"/>
  <w14:defaultImageDpi w14:val="330"/>
  <w15:docId w15:val="{DA070F65-1B9C-4BFB-BC5E-FF351308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table" w:styleId="LightList">
    <w:name w:val="Light List"/>
    <w:basedOn w:val="TableNormal"/>
    <w:uiPriority w:val="61"/>
    <w:rsid w:val="00E229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rsid w:val="00E229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9B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8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D3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D37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D37"/>
    <w:rPr>
      <w:rFonts w:ascii="Arial" w:eastAsia="Times New Roman" w:hAnsi="Arial"/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1D3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76EF"/>
    <w:rPr>
      <w:color w:val="808080"/>
    </w:rPr>
  </w:style>
  <w:style w:type="paragraph" w:customStyle="1" w:styleId="Default">
    <w:name w:val="Default"/>
    <w:rsid w:val="00070181"/>
    <w:pPr>
      <w:autoSpaceDE w:val="0"/>
      <w:autoSpaceDN w:val="0"/>
      <w:adjustRightInd w:val="0"/>
    </w:pPr>
    <w:rPr>
      <w:rFonts w:ascii="Rdg Vesta" w:hAnsi="Rdg Vesta" w:cs="Rdg Vest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3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&amp;S@Nottingham.ac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zsch\AppData\Local\Microsoft\Windows\INetCache\IE\S48N2TDI\UoN_Letterhead_March%202018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8" ma:contentTypeDescription="Create a new document." ma:contentTypeScope="" ma:versionID="3bd272f407bfe7982a1799d9aedd2b28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793d9e68c42eb798566f7604629df1f7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5c1d046-0ce0-47e5-988c-fdb4907d732a}" ma:internalName="TaxCatchAll" ma:showField="CatchAllData" ma:web="c5b2c0bd-3e8f-4b83-8136-5329635b6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KFX6ZHNE4NZY-55066487-112435</_dlc_DocId>
    <_dlc_DocIdUrl xmlns="c5b2c0bd-3e8f-4b83-8136-5329635b6705">
      <Url>https://uniofnottm.sharepoint.com/sites/UoNHealthandSafetyDepartment/_layouts/15/DocIdRedir.aspx?ID=KFX6ZHNE4NZY-55066487-112435</Url>
      <Description>KFX6ZHNE4NZY-55066487-112435</Description>
    </_dlc_DocIdUrl>
    <_Flow_SignoffStatus xmlns="24710652-91f3-4439-816a-09b2f5ad1925" xsi:nil="true"/>
    <lcf76f155ced4ddcb4097134ff3c332f xmlns="24710652-91f3-4439-816a-09b2f5ad1925">
      <Terms xmlns="http://schemas.microsoft.com/office/infopath/2007/PartnerControls"/>
    </lcf76f155ced4ddcb4097134ff3c332f>
    <TaxCatchAll xmlns="c5b2c0bd-3e8f-4b83-8136-5329635b670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8CB46E-2A1F-43A1-A513-D79698AE94EA}"/>
</file>

<file path=customXml/itemProps2.xml><?xml version="1.0" encoding="utf-8"?>
<ds:datastoreItem xmlns:ds="http://schemas.openxmlformats.org/officeDocument/2006/customXml" ds:itemID="{F81DE34B-497D-4E0E-B314-A37BFE68A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D561E-EC79-4E4B-9D04-4A854987DFBD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4.xml><?xml version="1.0" encoding="utf-8"?>
<ds:datastoreItem xmlns:ds="http://schemas.openxmlformats.org/officeDocument/2006/customXml" ds:itemID="{75C9FC70-7120-40C3-8D67-297DF4CAF1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00742E-2BF4-4388-8B39-C24252BC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UoN_Letterhead_March 2018 FINAL</Template>
  <TotalTime>6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Colin Stuart (staff)</cp:lastModifiedBy>
  <cp:revision>2</cp:revision>
  <cp:lastPrinted>2022-02-23T12:12:00Z</cp:lastPrinted>
  <dcterms:created xsi:type="dcterms:W3CDTF">2023-08-15T13:16:00Z</dcterms:created>
  <dcterms:modified xsi:type="dcterms:W3CDTF">2023-08-15T13:16:00Z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b8a3fe8c-089c-4330-8cc7-f9a20890221d</vt:lpwstr>
  </property>
</Properties>
</file>